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Times New Roman" w:hAnsi="Times New Roman" w:eastAsia="宋体" w:cs="Times New Roman"/>
          <w:b/>
          <w:sz w:val="28"/>
        </w:rPr>
      </w:pPr>
      <w:r>
        <w:rPr>
          <w:rFonts w:ascii="Times New Roman" w:hAnsi="Times New Roman" w:eastAsia="宋体" w:cs="Times New Roman"/>
          <w:b/>
          <w:sz w:val="28"/>
        </w:rPr>
        <w:t>采购需求</w:t>
      </w:r>
    </w:p>
    <w:p>
      <w:pPr>
        <w:spacing w:line="360" w:lineRule="auto"/>
        <w:rPr>
          <w:rFonts w:ascii="Times New Roman" w:hAnsi="Times New Roman" w:eastAsia="宋体" w:cs="Times New Roman"/>
          <w:b/>
          <w:sz w:val="24"/>
        </w:rPr>
      </w:pPr>
      <w:r>
        <w:rPr>
          <w:rFonts w:ascii="Times New Roman" w:hAnsi="Times New Roman" w:eastAsia="宋体" w:cs="Times New Roman"/>
          <w:b/>
          <w:sz w:val="24"/>
        </w:rPr>
        <w:t>前注：</w:t>
      </w:r>
    </w:p>
    <w:p>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rPr>
        <w:t>1.</w:t>
      </w:r>
      <w:r>
        <w:rPr>
          <w:rFonts w:ascii="Times New Roman" w:hAnsi="Times New Roman" w:eastAsia="宋体" w:cs="Times New Roman"/>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3.下列采购需求中：标注▲的产品（核心产品），投标人在投标文件《主要中标标的承诺函》中填写名称、品牌、规格、型号、数量、单价等信息。</w:t>
      </w:r>
    </w:p>
    <w:p>
      <w:pPr>
        <w:pStyle w:val="8"/>
        <w:spacing w:line="360" w:lineRule="auto"/>
        <w:rPr>
          <w:rFonts w:ascii="Times New Roman" w:hAnsi="Times New Roman" w:eastAsia="宋体" w:cs="Times New Roman"/>
          <w:sz w:val="24"/>
          <w:szCs w:val="18"/>
        </w:rPr>
      </w:pPr>
      <w:r>
        <w:rPr>
          <w:rFonts w:hint="eastAsia" w:ascii="Times New Roman" w:hAnsi="Times New Roman" w:eastAsia="宋体" w:cs="Times New Roman"/>
          <w:sz w:val="24"/>
          <w:szCs w:val="18"/>
        </w:rPr>
        <w:t>4、指标类型“▲”为核心产品，●为关键指标，★为重要指标，其它均为一般指标。</w:t>
      </w:r>
    </w:p>
    <w:p>
      <w:pPr>
        <w:spacing w:line="360" w:lineRule="auto"/>
      </w:pPr>
    </w:p>
    <w:p>
      <w:pPr>
        <w:spacing w:line="360" w:lineRule="auto"/>
        <w:ind w:firstLine="437"/>
        <w:rPr>
          <w:rFonts w:ascii="Times New Roman" w:hAnsi="Times New Roman" w:eastAsia="宋体" w:cs="Times New Roman"/>
          <w:b/>
          <w:sz w:val="24"/>
          <w:szCs w:val="18"/>
        </w:rPr>
      </w:pPr>
      <w:r>
        <w:rPr>
          <w:rFonts w:ascii="Times New Roman" w:hAnsi="Times New Roman" w:eastAsia="宋体" w:cs="Times New Roman"/>
          <w:b/>
          <w:sz w:val="24"/>
          <w:szCs w:val="18"/>
        </w:rPr>
        <w:t>一、采购需求前附表</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2214" w:type="dxa"/>
            <w:vAlign w:val="center"/>
          </w:tcPr>
          <w:p>
            <w:pPr>
              <w:pStyle w:val="12"/>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条款名称</w:t>
            </w:r>
          </w:p>
        </w:tc>
        <w:tc>
          <w:tcPr>
            <w:tcW w:w="5976" w:type="dxa"/>
            <w:vAlign w:val="center"/>
          </w:tcPr>
          <w:p>
            <w:pPr>
              <w:pStyle w:val="12"/>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2214" w:type="dxa"/>
            <w:vAlign w:val="center"/>
          </w:tcPr>
          <w:p>
            <w:pPr>
              <w:pStyle w:val="12"/>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付款方式</w:t>
            </w:r>
          </w:p>
        </w:tc>
        <w:tc>
          <w:tcPr>
            <w:tcW w:w="5976" w:type="dxa"/>
            <w:vAlign w:val="center"/>
          </w:tcPr>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国产设备：验收合格后，采购人于</w:t>
            </w:r>
            <w:r>
              <w:rPr>
                <w:rFonts w:hint="eastAsia" w:ascii="宋体" w:hAnsi="宋体" w:eastAsia="宋体" w:cs="宋体"/>
                <w:color w:val="000000" w:themeColor="text1"/>
                <w:sz w:val="24"/>
                <w:szCs w:val="24"/>
                <w:u w:val="single"/>
                <w14:textFill>
                  <w14:solidFill>
                    <w14:schemeClr w14:val="tx1"/>
                  </w14:solidFill>
                </w14:textFill>
              </w:rPr>
              <w:t xml:space="preserve"> 30 </w:t>
            </w:r>
            <w:r>
              <w:rPr>
                <w:rFonts w:hint="eastAsia" w:ascii="宋体" w:hAnsi="宋体" w:eastAsia="宋体" w:cs="宋体"/>
                <w:color w:val="000000" w:themeColor="text1"/>
                <w:sz w:val="24"/>
                <w:szCs w:val="24"/>
                <w14:textFill>
                  <w14:solidFill>
                    <w14:schemeClr w14:val="tx1"/>
                  </w14:solidFill>
                </w14:textFill>
              </w:rPr>
              <w:t>日之内一次性支付全额货款；</w:t>
            </w:r>
          </w:p>
          <w:p>
            <w:pPr>
              <w:pStyle w:val="12"/>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宋体" w:hAnsi="宋体" w:eastAsia="宋体" w:cs="宋体"/>
                <w:b w:val="0"/>
                <w:bCs w:val="0"/>
                <w:color w:val="000000" w:themeColor="text1"/>
                <w:sz w:val="24"/>
                <w:szCs w:val="24"/>
                <w14:textFill>
                  <w14:solidFill>
                    <w14:schemeClr w14:val="tx1"/>
                  </w14:solidFill>
                </w14:textFill>
              </w:rPr>
              <w:t>进口设备：外贸合同签订后，由采购人通过进出口业务代理公司开出全额信用证（100%L/C），90%见单即付，10%验收后支付。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2</w:t>
            </w:r>
          </w:p>
        </w:tc>
        <w:tc>
          <w:tcPr>
            <w:tcW w:w="2214" w:type="dxa"/>
            <w:vAlign w:val="center"/>
          </w:tcPr>
          <w:p>
            <w:pPr>
              <w:pStyle w:val="12"/>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供货及安装地点</w:t>
            </w:r>
          </w:p>
        </w:tc>
        <w:tc>
          <w:tcPr>
            <w:tcW w:w="5976" w:type="dxa"/>
            <w:vAlign w:val="center"/>
          </w:tcPr>
          <w:p>
            <w:pPr>
              <w:pStyle w:val="12"/>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合肥工业大学翡翠湖校区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3</w:t>
            </w:r>
          </w:p>
        </w:tc>
        <w:tc>
          <w:tcPr>
            <w:tcW w:w="2214" w:type="dxa"/>
            <w:vAlign w:val="center"/>
          </w:tcPr>
          <w:p>
            <w:pPr>
              <w:pStyle w:val="12"/>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供货及安装期限</w:t>
            </w:r>
          </w:p>
        </w:tc>
        <w:tc>
          <w:tcPr>
            <w:tcW w:w="5976" w:type="dxa"/>
            <w:vAlign w:val="center"/>
          </w:tcPr>
          <w:p>
            <w:pPr>
              <w:pStyle w:val="12"/>
              <w:widowControl w:val="0"/>
              <w:spacing w:before="0" w:beforeAutospacing="0" w:after="0" w:afterAutospacing="0" w:line="360" w:lineRule="auto"/>
              <w:jc w:val="both"/>
              <w:rPr>
                <w:rFonts w:ascii="宋体" w:hAnsi="宋体" w:eastAsia="宋体" w:cs="宋体"/>
                <w:b w:val="0"/>
                <w:bCs w:val="0"/>
                <w:sz w:val="24"/>
              </w:rPr>
            </w:pPr>
            <w:r>
              <w:rPr>
                <w:rFonts w:hint="eastAsia" w:ascii="宋体" w:hAnsi="宋体" w:eastAsia="宋体" w:cs="宋体"/>
                <w:b w:val="0"/>
                <w:bCs w:val="0"/>
                <w:color w:val="000000" w:themeColor="text1"/>
                <w:sz w:val="24"/>
                <w:szCs w:val="24"/>
                <w14:textFill>
                  <w14:solidFill>
                    <w14:schemeClr w14:val="tx1"/>
                  </w14:solidFill>
                </w14:textFill>
              </w:rPr>
              <w:t>国产设备：合同签订后</w:t>
            </w:r>
            <w:r>
              <w:rPr>
                <w:rFonts w:hint="eastAsia" w:ascii="宋体" w:hAnsi="宋体" w:eastAsia="宋体" w:cs="宋体"/>
                <w:b w:val="0"/>
                <w:bCs w:val="0"/>
                <w:color w:val="000000" w:themeColor="text1"/>
                <w:sz w:val="24"/>
                <w:szCs w:val="24"/>
                <w:u w:val="single"/>
                <w14:textFill>
                  <w14:solidFill>
                    <w14:schemeClr w14:val="tx1"/>
                  </w14:solidFill>
                </w14:textFill>
              </w:rPr>
              <w:t xml:space="preserve">   4   </w:t>
            </w:r>
            <w:r>
              <w:rPr>
                <w:rFonts w:hint="eastAsia" w:ascii="宋体" w:hAnsi="宋体" w:eastAsia="宋体" w:cs="宋体"/>
                <w:b w:val="0"/>
                <w:bCs w:val="0"/>
                <w:color w:val="000000" w:themeColor="text1"/>
                <w:sz w:val="24"/>
                <w:szCs w:val="24"/>
                <w14:textFill>
                  <w14:solidFill>
                    <w14:schemeClr w14:val="tx1"/>
                  </w14:solidFill>
                </w14:textFill>
              </w:rPr>
              <w:t>个月内完成供货</w:t>
            </w:r>
          </w:p>
          <w:p>
            <w:pPr>
              <w:pStyle w:val="12"/>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宋体" w:hAnsi="宋体" w:eastAsia="宋体" w:cs="宋体"/>
                <w:b w:val="0"/>
                <w:bCs w:val="0"/>
                <w:color w:val="000000" w:themeColor="text1"/>
                <w:sz w:val="24"/>
                <w:szCs w:val="24"/>
                <w14:textFill>
                  <w14:solidFill>
                    <w14:schemeClr w14:val="tx1"/>
                  </w14:solidFill>
                </w14:textFill>
              </w:rPr>
              <w:t>进口设备：外贸合同签订后</w:t>
            </w:r>
            <w:r>
              <w:rPr>
                <w:rFonts w:hint="eastAsia" w:ascii="宋体" w:hAnsi="宋体" w:eastAsia="宋体" w:cs="宋体"/>
                <w:b w:val="0"/>
                <w:bCs w:val="0"/>
                <w:color w:val="000000" w:themeColor="text1"/>
                <w:sz w:val="24"/>
                <w:szCs w:val="24"/>
                <w:u w:val="single"/>
                <w14:textFill>
                  <w14:solidFill>
                    <w14:schemeClr w14:val="tx1"/>
                  </w14:solidFill>
                </w14:textFill>
              </w:rPr>
              <w:t xml:space="preserve">   8   </w:t>
            </w:r>
            <w:r>
              <w:rPr>
                <w:rFonts w:hint="eastAsia" w:ascii="宋体" w:hAnsi="宋体" w:eastAsia="宋体" w:cs="宋体"/>
                <w:b w:val="0"/>
                <w:bCs w:val="0"/>
                <w:color w:val="000000" w:themeColor="text1"/>
                <w:sz w:val="24"/>
                <w:szCs w:val="24"/>
                <w14:textFill>
                  <w14:solidFill>
                    <w14:schemeClr w14:val="tx1"/>
                  </w14:solidFill>
                </w14:textFill>
              </w:rPr>
              <w:t>个月内完成供货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4</w:t>
            </w:r>
          </w:p>
        </w:tc>
        <w:tc>
          <w:tcPr>
            <w:tcW w:w="2214" w:type="dxa"/>
            <w:vAlign w:val="center"/>
          </w:tcPr>
          <w:p>
            <w:pPr>
              <w:pStyle w:val="12"/>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免费质保期</w:t>
            </w:r>
          </w:p>
        </w:tc>
        <w:tc>
          <w:tcPr>
            <w:tcW w:w="5976" w:type="dxa"/>
            <w:vAlign w:val="center"/>
          </w:tcPr>
          <w:p>
            <w:pPr>
              <w:pStyle w:val="12"/>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国产设备要求不低于3年，进口设备要求不低于1年。免费质量保证期从货物供货、安装、调试正常且经采购人综合运行验收合格后开始计算。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hint="eastAsia" w:ascii="Times New Roman" w:hAnsi="Times New Roman" w:eastAsia="宋体" w:cs="Times New Roman"/>
                <w:bCs/>
                <w:kern w:val="2"/>
              </w:rPr>
              <w:t>5</w:t>
            </w:r>
          </w:p>
        </w:tc>
        <w:tc>
          <w:tcPr>
            <w:tcW w:w="2214" w:type="dxa"/>
            <w:vAlign w:val="center"/>
          </w:tcPr>
          <w:p>
            <w:pPr>
              <w:pStyle w:val="3"/>
              <w:jc w:val="center"/>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所属行业</w:t>
            </w:r>
          </w:p>
        </w:tc>
        <w:tc>
          <w:tcPr>
            <w:tcW w:w="5976" w:type="dxa"/>
            <w:vAlign w:val="center"/>
          </w:tcPr>
          <w:p>
            <w:pPr>
              <w:pStyle w:val="3"/>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工业</w:t>
            </w:r>
          </w:p>
        </w:tc>
      </w:tr>
    </w:tbl>
    <w:p>
      <w:pPr>
        <w:spacing w:line="360" w:lineRule="auto"/>
        <w:rPr>
          <w:rFonts w:ascii="Times New Roman" w:hAnsi="Times New Roman" w:eastAsia="宋体" w:cs="Times New Roman"/>
          <w:b/>
          <w:sz w:val="24"/>
          <w:szCs w:val="18"/>
        </w:rPr>
      </w:pPr>
    </w:p>
    <w:p>
      <w:pPr>
        <w:numPr>
          <w:ilvl w:val="0"/>
          <w:numId w:val="1"/>
        </w:numPr>
        <w:spacing w:line="360" w:lineRule="auto"/>
        <w:ind w:firstLine="437"/>
        <w:rPr>
          <w:rFonts w:ascii="Times New Roman" w:hAnsi="Times New Roman" w:eastAsia="宋体" w:cs="Times New Roman"/>
          <w:b/>
          <w:bCs/>
          <w:sz w:val="24"/>
          <w:szCs w:val="18"/>
        </w:rPr>
      </w:pPr>
      <w:r>
        <w:rPr>
          <w:rFonts w:ascii="Times New Roman" w:hAnsi="Times New Roman" w:eastAsia="宋体" w:cs="Times New Roman"/>
          <w:b/>
          <w:bCs/>
          <w:sz w:val="24"/>
          <w:szCs w:val="18"/>
        </w:rPr>
        <w:t>货物需求</w:t>
      </w:r>
    </w:p>
    <w:p>
      <w:pPr>
        <w:tabs>
          <w:tab w:val="center" w:pos="4153"/>
        </w:tabs>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设备主要组成：</w:t>
      </w:r>
      <w:r>
        <w:rPr>
          <w:rFonts w:ascii="宋体" w:hAnsi="宋体" w:eastAsia="宋体"/>
          <w:color w:val="000000" w:themeColor="text1"/>
          <w:sz w:val="24"/>
          <w:szCs w:val="24"/>
          <w14:textFill>
            <w14:solidFill>
              <w14:schemeClr w14:val="tx1"/>
            </w14:solidFill>
          </w14:textFill>
        </w:rPr>
        <w:t>1.控制机</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2.风冷压缩机</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3.制冷机</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4.光学测量样品腔</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5.RF射频电学接口面板</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6.光纤接口面板</w:t>
      </w:r>
    </w:p>
    <w:p>
      <w:pPr>
        <w:pStyle w:val="8"/>
      </w:pPr>
    </w:p>
    <w:tbl>
      <w:tblPr>
        <w:tblStyle w:val="9"/>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856"/>
        <w:gridCol w:w="5098"/>
        <w:gridCol w:w="898"/>
        <w:gridCol w:w="677"/>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486" w:type="pct"/>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货物</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名称</w:t>
            </w:r>
          </w:p>
        </w:tc>
        <w:tc>
          <w:tcPr>
            <w:tcW w:w="2897" w:type="pct"/>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技术参数及要求</w:t>
            </w:r>
          </w:p>
        </w:tc>
        <w:tc>
          <w:tcPr>
            <w:tcW w:w="511" w:type="pct"/>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数量</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（单位）</w:t>
            </w:r>
          </w:p>
        </w:tc>
        <w:tc>
          <w:tcPr>
            <w:tcW w:w="385" w:type="pct"/>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所属行业</w:t>
            </w:r>
          </w:p>
        </w:tc>
        <w:tc>
          <w:tcPr>
            <w:tcW w:w="393" w:type="pct"/>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86" w:type="pct"/>
            <w:vAlign w:val="center"/>
          </w:tcPr>
          <w:p>
            <w:pPr>
              <w:spacing w:line="360" w:lineRule="auto"/>
              <w:jc w:val="center"/>
              <w:rPr>
                <w:rFonts w:ascii="宋体" w:hAnsi="宋体" w:eastAsia="宋体" w:cs="宋体"/>
                <w:bCs/>
                <w:sz w:val="24"/>
                <w:szCs w:val="24"/>
              </w:rPr>
            </w:pPr>
            <w:r>
              <w:rPr>
                <w:rFonts w:hint="eastAsia" w:ascii="宋体" w:hAnsi="宋体" w:eastAsia="宋体"/>
                <w:b/>
                <w:bCs/>
                <w:color w:val="000000" w:themeColor="text1"/>
                <w:sz w:val="24"/>
                <w:szCs w:val="24"/>
                <w14:textFill>
                  <w14:solidFill>
                    <w14:schemeClr w14:val="tx1"/>
                  </w14:solidFill>
                </w14:textFill>
              </w:rPr>
              <w:t>▲闭循环低温光学物性实验系统</w:t>
            </w:r>
          </w:p>
        </w:tc>
        <w:tc>
          <w:tcPr>
            <w:tcW w:w="2897" w:type="pct"/>
            <w:vAlign w:val="center"/>
          </w:tcPr>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1.闭循环低温冷台基系统</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1.1.系统采用闭循环制冷，无需灌装液氦及液氮等制冷液</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★1.2.系统采用风冷压缩机，无需为压缩机配置复杂的水冷系统</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★1.3.冷台基台最低温度：无负载情况下，≤4.</w:t>
            </w: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K（典型值）</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1.4.</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冷台基台制冷时间：无负载情况下，冷台基台从300 K降温至4.2 K所用时间≤12hrs</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★1.5.冷台基台温度稳定性：无负载情况下，≤50mK。</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6</w:t>
            </w:r>
            <w:r>
              <w:rPr>
                <w:rFonts w:ascii="宋体" w:hAnsi="宋体" w:eastAsia="宋体"/>
                <w:color w:val="000000" w:themeColor="text1"/>
                <w:sz w:val="24"/>
                <w:szCs w:val="24"/>
                <w14:textFill>
                  <w14:solidFill>
                    <w14:schemeClr w14:val="tx1"/>
                  </w14:solidFill>
                </w14:textFill>
              </w:rPr>
              <w:t>.冷台基台振动稳定性：无负载情况下，峰值振动≤20nm</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.冷台基台直径：</w:t>
            </w:r>
            <w:r>
              <w:rPr>
                <w:rFonts w:hint="eastAsia" w:ascii="宋体" w:hAnsi="宋体" w:eastAsia="宋体"/>
                <w:color w:val="000000" w:themeColor="text1"/>
                <w:sz w:val="24"/>
                <w:szCs w:val="24"/>
                <w14:textFill>
                  <w14:solidFill>
                    <w14:schemeClr w14:val="tx1"/>
                  </w14:solidFill>
                </w14:textFill>
              </w:rPr>
              <w:t>Φ</w:t>
            </w:r>
            <w:r>
              <w:rPr>
                <w:rFonts w:ascii="宋体" w:hAnsi="宋体" w:eastAsia="宋体"/>
                <w:color w:val="000000" w:themeColor="text1"/>
                <w:sz w:val="24"/>
                <w:szCs w:val="24"/>
                <w14:textFill>
                  <w14:solidFill>
                    <w14:schemeClr w14:val="tx1"/>
                  </w14:solidFill>
                </w14:textFill>
              </w:rPr>
              <w:t>≥190mm</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8</w:t>
            </w:r>
            <w:r>
              <w:rPr>
                <w:rFonts w:ascii="宋体" w:hAnsi="宋体" w:eastAsia="宋体"/>
                <w:color w:val="000000" w:themeColor="text1"/>
                <w:sz w:val="24"/>
                <w:szCs w:val="24"/>
                <w14:textFill>
                  <w14:solidFill>
                    <w14:schemeClr w14:val="tx1"/>
                  </w14:solidFill>
                </w14:textFill>
              </w:rPr>
              <w:t>.基系统真空特性：低温工作下腔内真空度 ≤0.1 mTorr</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9</w:t>
            </w:r>
            <w:r>
              <w:rPr>
                <w:rFonts w:ascii="宋体" w:hAnsi="宋体" w:eastAsia="宋体"/>
                <w:color w:val="000000" w:themeColor="text1"/>
                <w:sz w:val="24"/>
                <w:szCs w:val="24"/>
                <w14:textFill>
                  <w14:solidFill>
                    <w14:schemeClr w14:val="tx1"/>
                  </w14:solidFill>
                </w14:textFill>
              </w:rPr>
              <w:t>.基系统标配</w:t>
            </w:r>
            <w:r>
              <w:rPr>
                <w:rFonts w:hint="eastAsia" w:ascii="宋体" w:hAnsi="宋体" w:eastAsia="宋体"/>
                <w:color w:val="000000" w:themeColor="text1"/>
                <w:sz w:val="24"/>
                <w:szCs w:val="24"/>
                <w14:textFill>
                  <w14:solidFill>
                    <w14:schemeClr w14:val="tx1"/>
                  </w14:solidFill>
                </w14:textFill>
              </w:rPr>
              <w:t>不少于</w:t>
            </w:r>
            <w:r>
              <w:rPr>
                <w:rFonts w:ascii="宋体" w:hAnsi="宋体" w:eastAsia="宋体"/>
                <w:color w:val="000000" w:themeColor="text1"/>
                <w:sz w:val="24"/>
                <w:szCs w:val="24"/>
                <w14:textFill>
                  <w14:solidFill>
                    <w14:schemeClr w14:val="tx1"/>
                  </w14:solidFill>
                </w14:textFill>
              </w:rPr>
              <w:t>25个用户可自定义的腔内外连接电学接口</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2.配备标准光学测量样品腔：</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★2.1.样品腔与制冷机为L型连接结构，样品腔中心与制冷机水平间距：≥10cm</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2.2.样品腔具备外壳及内置辐射屏蔽罩双层设计</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2.3.样品腔高度：≥</w:t>
            </w:r>
            <w:r>
              <w:rPr>
                <w:rFonts w:hint="eastAsia" w:ascii="宋体" w:hAnsi="宋体" w:eastAsia="宋体"/>
                <w:color w:val="000000" w:themeColor="text1"/>
                <w:sz w:val="24"/>
                <w:szCs w:val="24"/>
                <w14:textFill>
                  <w14:solidFill>
                    <w14:schemeClr w14:val="tx1"/>
                  </w14:solidFill>
                </w14:textFill>
              </w:rPr>
              <w:t>90</w:t>
            </w:r>
            <w:r>
              <w:rPr>
                <w:rFonts w:ascii="宋体" w:hAnsi="宋体" w:eastAsia="宋体"/>
                <w:color w:val="000000" w:themeColor="text1"/>
                <w:sz w:val="24"/>
                <w:szCs w:val="24"/>
                <w14:textFill>
                  <w14:solidFill>
                    <w14:schemeClr w14:val="tx1"/>
                  </w14:solidFill>
                </w14:textFill>
              </w:rPr>
              <w:t>mm</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★2.4.光学窗口数量：</w:t>
            </w:r>
            <w:r>
              <w:rPr>
                <w:rFonts w:hint="eastAsia" w:ascii="宋体" w:hAnsi="宋体" w:eastAsia="宋体"/>
                <w:color w:val="000000" w:themeColor="text1"/>
                <w:sz w:val="24"/>
                <w:szCs w:val="24"/>
                <w14:textFill>
                  <w14:solidFill>
                    <w14:schemeClr w14:val="tx1"/>
                  </w14:solidFill>
                </w14:textFill>
              </w:rPr>
              <w:t>不少于</w:t>
            </w:r>
            <w:r>
              <w:rPr>
                <w:rFonts w:ascii="宋体" w:hAnsi="宋体" w:eastAsia="宋体"/>
                <w:color w:val="000000" w:themeColor="text1"/>
                <w:sz w:val="24"/>
                <w:szCs w:val="24"/>
                <w14:textFill>
                  <w14:solidFill>
                    <w14:schemeClr w14:val="tx1"/>
                  </w14:solidFill>
                </w14:textFill>
              </w:rPr>
              <w:t>8个光学窗口（其中顶部不少于1个，侧向不少于7个）</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2.5.光学窗口窗片可更换式设计，用户可自行更换窗片</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3.配备RF射频电学接口面板，单面板上RF接口数量：</w:t>
            </w:r>
            <w:r>
              <w:rPr>
                <w:rFonts w:hint="eastAsia" w:ascii="宋体" w:hAnsi="宋体" w:eastAsia="宋体"/>
                <w:color w:val="000000" w:themeColor="text1"/>
                <w:sz w:val="24"/>
                <w:szCs w:val="24"/>
                <w14:textFill>
                  <w14:solidFill>
                    <w14:schemeClr w14:val="tx1"/>
                  </w14:solidFill>
                </w14:textFill>
              </w:rPr>
              <w:t>不少于</w:t>
            </w:r>
            <w:r>
              <w:rPr>
                <w:rFonts w:ascii="宋体" w:hAnsi="宋体" w:eastAsia="宋体"/>
                <w:color w:val="000000" w:themeColor="text1"/>
                <w:sz w:val="24"/>
                <w:szCs w:val="24"/>
                <w14:textFill>
                  <w14:solidFill>
                    <w14:schemeClr w14:val="tx1"/>
                  </w14:solidFill>
                </w14:textFill>
              </w:rPr>
              <w:t>4个</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配备光纤接口面板，单面板上光纤接口数量：</w:t>
            </w:r>
            <w:r>
              <w:rPr>
                <w:rFonts w:hint="eastAsia" w:ascii="宋体" w:hAnsi="宋体" w:eastAsia="宋体"/>
                <w:color w:val="000000" w:themeColor="text1"/>
                <w:sz w:val="24"/>
                <w:szCs w:val="24"/>
                <w14:textFill>
                  <w14:solidFill>
                    <w14:schemeClr w14:val="tx1"/>
                  </w14:solidFill>
                </w14:textFill>
              </w:rPr>
              <w:t>不少于</w:t>
            </w:r>
            <w:r>
              <w:rPr>
                <w:rFonts w:ascii="宋体" w:hAnsi="宋体" w:eastAsia="宋体"/>
                <w:color w:val="000000" w:themeColor="text1"/>
                <w:sz w:val="24"/>
                <w:szCs w:val="24"/>
                <w14:textFill>
                  <w14:solidFill>
                    <w14:schemeClr w14:val="tx1"/>
                  </w14:solidFill>
                </w14:textFill>
              </w:rPr>
              <w:t>2个</w:t>
            </w:r>
            <w:r>
              <w:rPr>
                <w:rFonts w:hint="eastAsia" w:ascii="宋体" w:hAnsi="宋体" w:eastAsia="宋体"/>
                <w:color w:val="000000" w:themeColor="text1"/>
                <w:sz w:val="24"/>
                <w:szCs w:val="24"/>
                <w14:textFill>
                  <w14:solidFill>
                    <w14:schemeClr w14:val="tx1"/>
                  </w14:solidFill>
                </w14:textFill>
              </w:rPr>
              <w:t>；</w:t>
            </w:r>
          </w:p>
          <w:p>
            <w:pPr>
              <w:tabs>
                <w:tab w:val="center" w:pos="4153"/>
              </w:tabs>
              <w:spacing w:line="360" w:lineRule="auto"/>
              <w:rPr>
                <w:rFonts w:ascii="宋体" w:hAnsi="宋体" w:eastAsia="宋体" w:cs="宋体"/>
                <w:bCs/>
                <w:sz w:val="24"/>
                <w:szCs w:val="24"/>
              </w:rPr>
            </w:pP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设备功能拓展性：设备可后续升级内置物镜、内置手动位移台、内置电动位移台、电学测量样品托、透射测量样品托、快速升温样品台等功能组件</w:t>
            </w:r>
            <w:r>
              <w:rPr>
                <w:rFonts w:hint="eastAsia" w:ascii="宋体" w:hAnsi="宋体" w:eastAsia="宋体"/>
                <w:color w:val="000000" w:themeColor="text1"/>
                <w:sz w:val="24"/>
                <w:szCs w:val="24"/>
                <w14:textFill>
                  <w14:solidFill>
                    <w14:schemeClr w14:val="tx1"/>
                  </w14:solidFill>
                </w14:textFill>
              </w:rPr>
              <w:t>。</w:t>
            </w:r>
          </w:p>
        </w:tc>
        <w:tc>
          <w:tcPr>
            <w:tcW w:w="511" w:type="pct"/>
            <w:vAlign w:val="center"/>
          </w:tcPr>
          <w:p>
            <w:pPr>
              <w:spacing w:line="360" w:lineRule="auto"/>
              <w:jc w:val="center"/>
              <w:rPr>
                <w:rFonts w:ascii="宋体" w:hAnsi="宋体" w:eastAsia="宋体" w:cs="宋体"/>
                <w:bCs/>
                <w:sz w:val="24"/>
                <w:szCs w:val="24"/>
              </w:rPr>
            </w:pPr>
            <w:r>
              <w:rPr>
                <w:rFonts w:hint="eastAsia" w:ascii="宋体" w:hAnsi="宋体" w:eastAsia="宋体"/>
                <w:bCs/>
                <w:color w:val="000000" w:themeColor="text1"/>
                <w:sz w:val="24"/>
                <w:szCs w:val="24"/>
                <w14:textFill>
                  <w14:solidFill>
                    <w14:schemeClr w14:val="tx1"/>
                  </w14:solidFill>
                </w14:textFill>
              </w:rPr>
              <w:t>1套</w:t>
            </w:r>
          </w:p>
        </w:tc>
        <w:tc>
          <w:tcPr>
            <w:tcW w:w="385" w:type="pct"/>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393" w:type="pct"/>
            <w:vAlign w:val="center"/>
          </w:tcPr>
          <w:p>
            <w:pPr>
              <w:spacing w:line="360" w:lineRule="auto"/>
              <w:jc w:val="center"/>
              <w:rPr>
                <w:rFonts w:ascii="宋体" w:hAnsi="宋体" w:eastAsia="宋体" w:cs="宋体"/>
                <w:bCs/>
                <w:sz w:val="24"/>
                <w:szCs w:val="24"/>
              </w:rPr>
            </w:pPr>
            <w:r>
              <w:rPr>
                <w:rFonts w:hint="eastAsia" w:ascii="宋体" w:hAnsi="宋体" w:eastAsia="宋体"/>
                <w:b/>
                <w:bCs/>
                <w:color w:val="000000" w:themeColor="text1"/>
                <w:sz w:val="24"/>
                <w:szCs w:val="24"/>
                <w14:textFill>
                  <w14:solidFill>
                    <w14:schemeClr w14:val="tx1"/>
                  </w14:solidFill>
                </w14:textFill>
              </w:rPr>
              <w:t>进口</w:t>
            </w:r>
          </w:p>
        </w:tc>
      </w:tr>
    </w:tbl>
    <w:p>
      <w:pPr>
        <w:spacing w:line="360" w:lineRule="auto"/>
        <w:ind w:firstLine="437"/>
        <w:rPr>
          <w:rFonts w:ascii="Times New Roman" w:hAnsi="Times New Roman" w:eastAsia="宋体" w:cs="Times New Roman"/>
          <w:b/>
          <w:bCs/>
          <w:sz w:val="24"/>
          <w:szCs w:val="18"/>
        </w:rPr>
      </w:pPr>
      <w:r>
        <w:rPr>
          <w:rFonts w:ascii="Times New Roman" w:hAnsi="Times New Roman" w:eastAsia="宋体" w:cs="Times New Roman"/>
          <w:b/>
          <w:bCs/>
          <w:sz w:val="24"/>
          <w:szCs w:val="18"/>
        </w:rPr>
        <w:t>三、报价要求</w:t>
      </w:r>
    </w:p>
    <w:p>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项目最高限价：详见招标公告。</w:t>
      </w:r>
    </w:p>
    <w:p>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供应商的投标报价高于或等于本项目的最高限价为无效报价，单项如有最高限价，供应商的报价高于或等于本项目最高限价或单项最高限价均为无效报价。</w:t>
      </w:r>
    </w:p>
    <w:p>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投标报价为一次性固定报价，包含设备运输、安装、调试、培训、验收等费用，签订合同后，市场价格波动风险、社会干扰、疫情期间等因素产生的费用由投标人自行承担。</w:t>
      </w:r>
    </w:p>
    <w:p>
      <w:pPr>
        <w:spacing w:line="360" w:lineRule="auto"/>
        <w:ind w:firstLine="437"/>
        <w:rPr>
          <w:rFonts w:ascii="Times New Roman" w:hAnsi="Times New Roman" w:eastAsia="宋体" w:cs="Times New Roman"/>
          <w:b/>
          <w:bCs/>
          <w:sz w:val="24"/>
          <w:szCs w:val="18"/>
        </w:rPr>
      </w:pPr>
      <w:r>
        <w:rPr>
          <w:rFonts w:ascii="Times New Roman" w:hAnsi="Times New Roman" w:eastAsia="宋体" w:cs="Times New Roman"/>
          <w:b/>
          <w:bCs/>
          <w:sz w:val="24"/>
          <w:szCs w:val="18"/>
        </w:rPr>
        <w:t>四、其他要求</w:t>
      </w:r>
    </w:p>
    <w:p>
      <w:pPr>
        <w:spacing w:before="78" w:beforeLines="25" w:after="78" w:afterLines="25" w:line="44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安装调试及售后服务要求</w:t>
      </w:r>
    </w:p>
    <w:p>
      <w:pPr>
        <w:spacing w:line="360" w:lineRule="auto"/>
        <w:ind w:firstLine="480" w:firstLineChars="200"/>
        <w:rPr>
          <w:rFonts w:ascii="Times New Roman" w:hAnsi="Times New Roman" w:eastAsia="宋体" w:cs="Times New Roman"/>
          <w:color w:val="000000"/>
          <w:sz w:val="24"/>
          <w:szCs w:val="24"/>
        </w:rPr>
      </w:pPr>
      <w:bookmarkStart w:id="0" w:name="_Hlk106627094"/>
      <w:r>
        <w:rPr>
          <w:rFonts w:ascii="Times New Roman" w:hAnsi="Times New Roman" w:eastAsia="宋体" w:cs="Times New Roman"/>
          <w:color w:val="000000"/>
          <w:sz w:val="24"/>
          <w:szCs w:val="24"/>
        </w:rPr>
        <w:t>1、中标人供货时提供设备操作说明书、产品检验合格证书、原厂产品保修单等。根据用户要求提供设备安装、调试、验收、培训等服务；</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2、仪器设备安装调试所需要的人工、材料、工具等均由中标人负责提供，所需费用包含在投标总报价内；</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3、最终验收在用户现场进行，经双方确认符合合同约定标准（包括应满足国家相关技术安全标准）后，用户签署验收合格报告；</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4、中标人应对用户相关人员进行免费现场培训。包括仪器设备工作原理、操作要领及步骤、维修维护和保养等各个方面；</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本项目免费质量保证期国产设备要求不低于3年，进口设备要求不低于1年。免费质量保证期从货物供货、安装、调试正常且经采购人综合运行验收合格后开始计算</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供应商应在接到报修通知后</w:t>
      </w:r>
      <w:r>
        <w:rPr>
          <w:rFonts w:hint="eastAsia" w:ascii="Times New Roman" w:hAnsi="Times New Roman" w:eastAsia="宋体" w:cs="Times New Roman"/>
          <w:color w:val="000000"/>
          <w:sz w:val="24"/>
          <w:szCs w:val="24"/>
          <w:u w:val="single"/>
        </w:rPr>
        <w:t xml:space="preserve"> 2 </w:t>
      </w:r>
      <w:r>
        <w:rPr>
          <w:rFonts w:hint="eastAsia" w:ascii="Times New Roman" w:hAnsi="Times New Roman" w:eastAsia="宋体" w:cs="Times New Roman"/>
          <w:color w:val="000000"/>
          <w:sz w:val="24"/>
          <w:szCs w:val="24"/>
        </w:rPr>
        <w:t>小时内响应，</w:t>
      </w:r>
      <w:r>
        <w:rPr>
          <w:rFonts w:hint="eastAsia" w:ascii="Times New Roman" w:hAnsi="Times New Roman" w:eastAsia="宋体" w:cs="Times New Roman"/>
          <w:color w:val="000000"/>
          <w:sz w:val="24"/>
          <w:szCs w:val="24"/>
          <w:u w:val="single"/>
        </w:rPr>
        <w:t>48</w:t>
      </w:r>
      <w:r>
        <w:rPr>
          <w:rFonts w:hint="eastAsia" w:ascii="Times New Roman" w:hAnsi="Times New Roman" w:eastAsia="宋体" w:cs="Times New Roman"/>
          <w:color w:val="000000"/>
          <w:sz w:val="24"/>
          <w:szCs w:val="24"/>
        </w:rPr>
        <w:t>小时内派技术人员到达现场，</w:t>
      </w:r>
      <w:r>
        <w:rPr>
          <w:rFonts w:hint="eastAsia" w:ascii="Times New Roman" w:hAnsi="Times New Roman" w:eastAsia="宋体" w:cs="Times New Roman"/>
          <w:color w:val="000000"/>
          <w:sz w:val="24"/>
          <w:szCs w:val="24"/>
          <w:u w:val="single"/>
        </w:rPr>
        <w:t>72</w:t>
      </w:r>
      <w:r>
        <w:rPr>
          <w:rFonts w:hint="eastAsia" w:ascii="Times New Roman" w:hAnsi="Times New Roman" w:eastAsia="宋体" w:cs="Times New Roman"/>
          <w:color w:val="000000"/>
          <w:sz w:val="24"/>
          <w:szCs w:val="24"/>
        </w:rPr>
        <w:t>小时之内排除故障；需要更换设备或配件的应在</w:t>
      </w:r>
      <w:r>
        <w:rPr>
          <w:rFonts w:hint="eastAsia" w:ascii="Times New Roman" w:hAnsi="Times New Roman" w:eastAsia="宋体" w:cs="Times New Roman"/>
          <w:color w:val="000000"/>
          <w:sz w:val="24"/>
          <w:szCs w:val="24"/>
          <w:u w:val="single"/>
        </w:rPr>
        <w:t xml:space="preserve"> 72  </w:t>
      </w:r>
      <w:r>
        <w:rPr>
          <w:rFonts w:hint="eastAsia" w:ascii="Times New Roman" w:hAnsi="Times New Roman" w:eastAsia="宋体" w:cs="Times New Roman"/>
          <w:color w:val="000000"/>
          <w:sz w:val="24"/>
          <w:szCs w:val="24"/>
        </w:rPr>
        <w:t>小时内修复（从甲方提出现场服务要求之日开始算起），</w:t>
      </w:r>
      <w:r>
        <w:rPr>
          <w:rFonts w:hint="eastAsia" w:ascii="Times New Roman" w:hAnsi="Times New Roman" w:eastAsia="宋体" w:cs="Times New Roman"/>
          <w:color w:val="000000"/>
          <w:sz w:val="24"/>
          <w:szCs w:val="24"/>
          <w:u w:val="single"/>
        </w:rPr>
        <w:t xml:space="preserve"> 72  </w:t>
      </w:r>
      <w:r>
        <w:rPr>
          <w:rFonts w:hint="eastAsia" w:ascii="Times New Roman" w:hAnsi="Times New Roman" w:eastAsia="宋体" w:cs="Times New Roman"/>
          <w:color w:val="000000"/>
          <w:sz w:val="24"/>
          <w:szCs w:val="24"/>
        </w:rPr>
        <w:t>小时内不能修复的须及时免费提供备用设备。保修期内的零部件、配件和人工等均为免费。</w:t>
      </w:r>
    </w:p>
    <w:bookmarkEnd w:id="0"/>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0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2FA8A"/>
    <w:multiLevelType w:val="singleLevel"/>
    <w:tmpl w:val="0CF2FA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mZlNDdlMDMyMGIyYjkwZGM2YWY1OTY0ZjIxZDMifQ=="/>
  </w:docVars>
  <w:rsids>
    <w:rsidRoot w:val="00000000"/>
    <w:rsid w:val="3707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0"/>
    <w:pPr>
      <w:spacing w:after="120"/>
    </w:pPr>
    <w:rPr>
      <w:rFonts w:ascii="@微软简标宋" w:hAnsi="@微软简标宋" w:eastAsia="@微软简标宋" w:cs="@微软简标宋"/>
      <w:szCs w:val="24"/>
      <w:lang w:val="zh-CN"/>
    </w:rPr>
  </w:style>
  <w:style w:type="paragraph" w:styleId="4">
    <w:name w:val="toc 7"/>
    <w:basedOn w:val="1"/>
    <w:next w:val="1"/>
    <w:qFormat/>
    <w:uiPriority w:val="39"/>
    <w:pPr>
      <w:ind w:left="1260"/>
      <w:jc w:val="left"/>
    </w:pPr>
    <w:rPr>
      <w:sz w:val="18"/>
      <w:szCs w:val="18"/>
    </w:rPr>
  </w:style>
  <w:style w:type="paragraph" w:styleId="5">
    <w:name w:val="Body Text Indent"/>
    <w:basedOn w:val="1"/>
    <w:next w:val="6"/>
    <w:unhideWhenUsed/>
    <w:qFormat/>
    <w:uiPriority w:val="0"/>
    <w:pPr>
      <w:ind w:firstLine="645"/>
    </w:pPr>
    <w:rPr>
      <w:rFonts w:ascii="楷体_GB2312" w:eastAsia="楷体_GB2312"/>
      <w:sz w:val="32"/>
    </w:rPr>
  </w:style>
  <w:style w:type="paragraph" w:styleId="6">
    <w:name w:val="envelope return"/>
    <w:basedOn w:val="1"/>
    <w:next w:val="4"/>
    <w:qFormat/>
    <w:uiPriority w:val="0"/>
    <w:pPr>
      <w:snapToGrid w:val="0"/>
    </w:pPr>
    <w:rPr>
      <w:rFonts w:ascii="Arial" w:hAnsi="Arial"/>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ind w:firstLine="420"/>
    </w:pPr>
    <w:rPr>
      <w:rFonts w:hAnsi="Calibri"/>
      <w:kern w:val="0"/>
      <w:sz w:val="20"/>
    </w:rPr>
  </w:style>
  <w:style w:type="paragraph" w:customStyle="1" w:styleId="11">
    <w:name w:val="D&amp;L"/>
    <w:basedOn w:val="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2024-05-16T02:18:03Z</dcterms:created>
  <dc:creator>admin</dc:creator>
  <cp:lastModifiedBy>王婧</cp:lastModifiedBy>
  <dcterms:modified xsi:type="dcterms:W3CDTF">2024-05-16T02:18:11Z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F689006A664A448AAE39C0636E594415_12</vt:lpwstr>
  </property>
</Properties>
</file>