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3FE52">
      <w:pPr>
        <w:pStyle w:val="5"/>
        <w:spacing w:line="360" w:lineRule="auto"/>
        <w:jc w:val="center"/>
        <w:rPr>
          <w:rFonts w:hint="eastAsia" w:ascii="宋体" w:hAnsi="宋体"/>
          <w:highlight w:val="none"/>
        </w:rPr>
      </w:pPr>
      <w:r>
        <w:rPr>
          <w:rFonts w:hint="eastAsia"/>
          <w:b w:val="0"/>
          <w:highlight w:val="none"/>
        </w:rPr>
        <w:t>采购需求</w:t>
      </w:r>
    </w:p>
    <w:p w14:paraId="7FC6FC21">
      <w:pPr>
        <w:spacing w:line="360" w:lineRule="auto"/>
        <w:rPr>
          <w:rFonts w:hint="eastAsia" w:ascii="宋体" w:hAnsi="宋体"/>
          <w:sz w:val="24"/>
          <w:szCs w:val="28"/>
          <w:highlight w:val="none"/>
        </w:rPr>
      </w:pPr>
      <w:bookmarkStart w:id="0" w:name="_Hlt509716920"/>
      <w:bookmarkEnd w:id="0"/>
      <w:r>
        <w:rPr>
          <w:rFonts w:hint="eastAsia" w:ascii="宋体" w:hAnsi="宋体"/>
          <w:sz w:val="24"/>
          <w:szCs w:val="28"/>
          <w:highlight w:val="none"/>
        </w:rPr>
        <w:t>前注：</w:t>
      </w:r>
    </w:p>
    <w:p w14:paraId="2E8023EA">
      <w:pPr>
        <w:numPr>
          <w:ilvl w:val="0"/>
          <w:numId w:val="1"/>
        </w:numPr>
        <w:spacing w:line="360" w:lineRule="auto"/>
        <w:rPr>
          <w:rFonts w:hint="eastAsia" w:ascii="宋体" w:hAnsi="宋体"/>
          <w:sz w:val="24"/>
          <w:highlight w:val="none"/>
        </w:rPr>
      </w:pPr>
      <w:r>
        <w:rPr>
          <w:rFonts w:hint="eastAsia" w:ascii="宋体" w:hAnsi="宋体"/>
          <w:sz w:val="24"/>
          <w:szCs w:val="28"/>
          <w:highlight w:val="none"/>
        </w:rPr>
        <w:t>本需求中提出的技术方案仅为参考，如无明确限制，供应商可以进行优化，提供满足用户实际需要的更优（或者性能实质上不低于的）</w:t>
      </w:r>
      <w:r>
        <w:rPr>
          <w:rFonts w:hint="eastAsia" w:ascii="宋体" w:hAnsi="宋体"/>
          <w:sz w:val="24"/>
          <w:highlight w:val="none"/>
        </w:rPr>
        <w:t>技术方案或者设备配置，且此方案或配置须经评审委员会评审认可；</w:t>
      </w:r>
      <w:r>
        <w:rPr>
          <w:rFonts w:hint="eastAsia" w:ascii="宋体" w:hAnsi="宋体"/>
          <w:sz w:val="24"/>
          <w:highlight w:val="none"/>
        </w:rPr>
        <w:cr/>
      </w:r>
      <w:r>
        <w:rPr>
          <w:rFonts w:hint="eastAsia" w:ascii="宋体" w:hAnsi="宋体"/>
          <w:sz w:val="24"/>
          <w:highlight w:val="none"/>
        </w:rPr>
        <w:t>2、为鼓励不同品牌的充分竞争，如某设备的某技术参数或要求属于个别品牌专有，则该技术参数及要求不具有限制性，供应商可对该参数或要求进行适当调整，并应当说明调整的理由，且此调整须经评审委员会评审认可；</w:t>
      </w:r>
    </w:p>
    <w:p w14:paraId="64C12D7D">
      <w:pPr>
        <w:spacing w:line="360" w:lineRule="auto"/>
        <w:rPr>
          <w:rFonts w:hint="eastAsia" w:ascii="宋体" w:hAnsi="宋体"/>
          <w:sz w:val="24"/>
          <w:highlight w:val="none"/>
        </w:rPr>
      </w:pPr>
      <w:r>
        <w:rPr>
          <w:rFonts w:hint="eastAsia" w:ascii="宋体" w:hAnsi="宋体"/>
          <w:sz w:val="24"/>
          <w:highlight w:val="none"/>
        </w:rPr>
        <w:t>3、为有助于供应商选择投标产品，若项目需求中提供了推荐品牌（或型号）、参考品牌（或型号）等，这些品牌（或型号）仅供参考，并无限制性。供应商可以选择性能不低于推荐（或参考）的品牌（或型号）的其他品牌产品，但投标时应当提供有关技术证明材料，未提供的可能导致投标无效。</w:t>
      </w:r>
    </w:p>
    <w:p w14:paraId="4658483B">
      <w:pPr>
        <w:spacing w:line="360" w:lineRule="auto"/>
        <w:rPr>
          <w:rFonts w:hint="eastAsia" w:ascii="宋体" w:hAnsi="宋体"/>
          <w:sz w:val="24"/>
          <w:szCs w:val="28"/>
          <w:highlight w:val="none"/>
        </w:rPr>
      </w:pPr>
      <w:r>
        <w:rPr>
          <w:rFonts w:hint="eastAsia" w:ascii="宋体" w:hAnsi="宋体"/>
          <w:sz w:val="24"/>
          <w:szCs w:val="28"/>
          <w:highlight w:val="none"/>
        </w:rPr>
        <w:t>4、供应商应当在响应文件中列出完成本项目并通过验收所需的所有各项服务等明细表及全部费用。成交供应商必须确保整体通过用户方及有关主管部门验收,所发生的验收费用由成交供应商承担；供应商应自行踏勘施工建设现场，如供应商因未及时踏勘现场而导致的报价缺项漏项被否决投标、或中标/成交后无法完工，供应商自行承担一切后果；</w:t>
      </w:r>
    </w:p>
    <w:p w14:paraId="0079E6DC">
      <w:pPr>
        <w:spacing w:line="360" w:lineRule="auto"/>
        <w:rPr>
          <w:rFonts w:ascii="宋体" w:hAnsi="宋体"/>
          <w:sz w:val="24"/>
          <w:szCs w:val="28"/>
          <w:highlight w:val="none"/>
        </w:rPr>
      </w:pPr>
      <w:r>
        <w:rPr>
          <w:rFonts w:hint="eastAsia" w:ascii="宋体" w:hAnsi="宋体"/>
          <w:sz w:val="24"/>
          <w:szCs w:val="28"/>
          <w:highlight w:val="none"/>
        </w:rPr>
        <w:t>5、根据《关于规范政府采购进口产品有关工作的通知》及政府采购管理部门的相关规定，下列采购需求中如涉及进口产品则</w:t>
      </w:r>
      <w:r>
        <w:rPr>
          <w:rFonts w:ascii="宋体" w:hAnsi="宋体"/>
          <w:sz w:val="24"/>
          <w:szCs w:val="28"/>
          <w:highlight w:val="none"/>
        </w:rPr>
        <w:t>已履行相关手续</w:t>
      </w:r>
      <w:r>
        <w:rPr>
          <w:rFonts w:hint="eastAsia" w:ascii="宋体" w:hAnsi="宋体"/>
          <w:sz w:val="24"/>
          <w:szCs w:val="28"/>
          <w:highlight w:val="none"/>
        </w:rPr>
        <w:t>，</w:t>
      </w:r>
      <w:r>
        <w:rPr>
          <w:rFonts w:ascii="宋体" w:hAnsi="宋体"/>
          <w:sz w:val="24"/>
          <w:szCs w:val="28"/>
          <w:highlight w:val="none"/>
        </w:rPr>
        <w:t>经核准采购进口设备，但不限制满足比选文件要求的国内产品参与投标竞争；</w:t>
      </w:r>
    </w:p>
    <w:p w14:paraId="19A4AA64">
      <w:pPr>
        <w:spacing w:line="360" w:lineRule="auto"/>
        <w:rPr>
          <w:rFonts w:ascii="宋体" w:hAnsi="宋体"/>
          <w:sz w:val="24"/>
          <w:szCs w:val="28"/>
          <w:highlight w:val="none"/>
        </w:rPr>
      </w:pPr>
      <w:r>
        <w:rPr>
          <w:rFonts w:hint="eastAsia" w:ascii="宋体" w:hAnsi="宋体"/>
          <w:sz w:val="24"/>
          <w:szCs w:val="28"/>
          <w:highlight w:val="none"/>
        </w:rPr>
        <w:t>6、在采购活动开始前没有获准采购进口产品而开展采购活动的，视同为拒绝采购进口产品；</w:t>
      </w:r>
    </w:p>
    <w:p w14:paraId="744A2E83">
      <w:pPr>
        <w:spacing w:line="360" w:lineRule="auto"/>
        <w:rPr>
          <w:rFonts w:hint="eastAsia" w:ascii="宋体" w:hAnsi="宋体"/>
          <w:sz w:val="24"/>
          <w:szCs w:val="28"/>
          <w:highlight w:val="none"/>
        </w:rPr>
      </w:pPr>
      <w:r>
        <w:rPr>
          <w:rFonts w:hint="eastAsia" w:ascii="宋体" w:hAnsi="宋体"/>
          <w:sz w:val="24"/>
          <w:szCs w:val="28"/>
          <w:highlight w:val="none"/>
        </w:rPr>
        <w:t>7、下列采购需求中：如属于最新一期《节能产品政府采购清单》中政府强制采购的节能产品，则供应商所投产品须为最新一期《节能产品政府采购清单》内所列产品；</w:t>
      </w:r>
    </w:p>
    <w:p w14:paraId="2D87CB91">
      <w:pPr>
        <w:spacing w:line="360" w:lineRule="auto"/>
        <w:rPr>
          <w:rFonts w:hint="eastAsia" w:ascii="宋体" w:hAnsi="宋体"/>
          <w:sz w:val="24"/>
          <w:highlight w:val="none"/>
        </w:rPr>
      </w:pPr>
      <w:r>
        <w:rPr>
          <w:rFonts w:hint="eastAsia" w:ascii="宋体" w:hAnsi="宋体"/>
          <w:sz w:val="24"/>
          <w:highlight w:val="none"/>
        </w:rPr>
        <w:t>8、下列采购需求中：标注▲的产品，供应商在响应文件《主要成交标的承诺函》中填写名称、规格、型号、数量、单价等信息，承诺函随评审结果一并公告；</w:t>
      </w:r>
    </w:p>
    <w:p w14:paraId="6FE32204">
      <w:pPr>
        <w:spacing w:line="360" w:lineRule="auto"/>
        <w:rPr>
          <w:rFonts w:hint="eastAsia" w:ascii="宋体" w:hAnsi="宋体"/>
          <w:sz w:val="24"/>
          <w:highlight w:val="none"/>
        </w:rPr>
      </w:pPr>
      <w:r>
        <w:rPr>
          <w:rFonts w:hint="eastAsia" w:ascii="宋体" w:hAnsi="宋体"/>
          <w:sz w:val="24"/>
          <w:highlight w:val="none"/>
        </w:rPr>
        <w:t>9、单一产品采购项目中，提供同一品牌产品的不同供应商参加同一合同项下投标的，以一家供应商计算有效供应商数量。非单一产品采购项目中，提供标注▲的产品均为同一品牌的不同供应商参加同一合同项下投标的，以一家供应商计算有效供应商数量。</w:t>
      </w:r>
    </w:p>
    <w:p w14:paraId="20E4192B">
      <w:pPr>
        <w:autoSpaceDE w:val="0"/>
        <w:autoSpaceDN w:val="0"/>
        <w:adjustRightInd w:val="0"/>
        <w:spacing w:line="360" w:lineRule="auto"/>
        <w:rPr>
          <w:rFonts w:hint="eastAsia" w:ascii="宋体" w:hAnsi="宋体"/>
          <w:sz w:val="24"/>
          <w:szCs w:val="28"/>
          <w:highlight w:val="none"/>
        </w:rPr>
      </w:pPr>
      <w:r>
        <w:rPr>
          <w:rFonts w:hint="eastAsia" w:ascii="宋体" w:hAnsi="宋体"/>
          <w:sz w:val="24"/>
          <w:szCs w:val="28"/>
          <w:highlight w:val="none"/>
        </w:rPr>
        <w:t>10、如对本比选文件有任何疑问或澄清要求，请按本比选文件“供应商须知前附表”中的约定方式招标采购代理机构，或接受答疑截止时间前联系采购人。否则视同理解和接受。开标后采购人或采购代理机构不再受理对比选文件条款提出的质疑。</w:t>
      </w:r>
    </w:p>
    <w:p w14:paraId="2A15D5DE">
      <w:pPr>
        <w:autoSpaceDE w:val="0"/>
        <w:autoSpaceDN w:val="0"/>
        <w:adjustRightInd w:val="0"/>
        <w:spacing w:line="360" w:lineRule="auto"/>
        <w:rPr>
          <w:rFonts w:hint="eastAsia" w:ascii="宋体" w:hAnsi="宋体"/>
          <w:sz w:val="24"/>
          <w:szCs w:val="28"/>
          <w:highlight w:val="none"/>
        </w:rPr>
      </w:pPr>
      <w:r>
        <w:rPr>
          <w:rFonts w:hint="eastAsia" w:ascii="宋体" w:hAnsi="宋体"/>
          <w:sz w:val="24"/>
          <w:szCs w:val="28"/>
          <w:highlight w:val="none"/>
        </w:rPr>
        <w:t>11、采购需求前附表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250"/>
        <w:gridCol w:w="5787"/>
      </w:tblGrid>
      <w:tr w14:paraId="536E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41" w:type="dxa"/>
            <w:noWrap w:val="0"/>
            <w:vAlign w:val="center"/>
          </w:tcPr>
          <w:p w14:paraId="729ABE20">
            <w:pPr>
              <w:pStyle w:val="8"/>
              <w:jc w:val="center"/>
              <w:rPr>
                <w:rFonts w:hint="eastAsia"/>
                <w:b/>
                <w:bCs/>
                <w:sz w:val="24"/>
                <w:highlight w:val="none"/>
              </w:rPr>
            </w:pPr>
            <w:r>
              <w:rPr>
                <w:rFonts w:hint="eastAsia"/>
                <w:b/>
                <w:bCs/>
                <w:sz w:val="24"/>
                <w:highlight w:val="none"/>
              </w:rPr>
              <w:t>序号</w:t>
            </w:r>
          </w:p>
        </w:tc>
        <w:tc>
          <w:tcPr>
            <w:tcW w:w="2250" w:type="dxa"/>
            <w:noWrap w:val="0"/>
            <w:vAlign w:val="center"/>
          </w:tcPr>
          <w:p w14:paraId="627D9513">
            <w:pPr>
              <w:pStyle w:val="8"/>
              <w:jc w:val="center"/>
              <w:rPr>
                <w:rFonts w:hint="eastAsia"/>
                <w:b/>
                <w:bCs/>
                <w:sz w:val="24"/>
                <w:highlight w:val="none"/>
              </w:rPr>
            </w:pPr>
            <w:r>
              <w:rPr>
                <w:rFonts w:hint="eastAsia"/>
                <w:b/>
                <w:bCs/>
                <w:sz w:val="24"/>
                <w:highlight w:val="none"/>
              </w:rPr>
              <w:t>条款名称</w:t>
            </w:r>
          </w:p>
        </w:tc>
        <w:tc>
          <w:tcPr>
            <w:tcW w:w="5787" w:type="dxa"/>
            <w:noWrap w:val="0"/>
            <w:vAlign w:val="center"/>
          </w:tcPr>
          <w:p w14:paraId="197E36BB">
            <w:pPr>
              <w:pStyle w:val="8"/>
              <w:jc w:val="center"/>
              <w:rPr>
                <w:rFonts w:hint="eastAsia"/>
                <w:b/>
                <w:bCs/>
                <w:sz w:val="24"/>
                <w:highlight w:val="none"/>
              </w:rPr>
            </w:pPr>
            <w:r>
              <w:rPr>
                <w:rFonts w:hint="eastAsia"/>
                <w:b/>
                <w:bCs/>
                <w:sz w:val="24"/>
                <w:highlight w:val="none"/>
              </w:rPr>
              <w:t>内容、说明与要求</w:t>
            </w:r>
          </w:p>
        </w:tc>
      </w:tr>
      <w:tr w14:paraId="348D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41" w:type="dxa"/>
            <w:noWrap w:val="0"/>
            <w:vAlign w:val="center"/>
          </w:tcPr>
          <w:p w14:paraId="013957A4">
            <w:pPr>
              <w:pStyle w:val="8"/>
              <w:jc w:val="center"/>
              <w:rPr>
                <w:rFonts w:hint="eastAsia"/>
                <w:sz w:val="24"/>
                <w:highlight w:val="none"/>
              </w:rPr>
            </w:pPr>
            <w:r>
              <w:rPr>
                <w:rFonts w:hint="eastAsia"/>
                <w:sz w:val="24"/>
                <w:highlight w:val="none"/>
              </w:rPr>
              <w:t>1</w:t>
            </w:r>
          </w:p>
        </w:tc>
        <w:tc>
          <w:tcPr>
            <w:tcW w:w="2250" w:type="dxa"/>
            <w:noWrap w:val="0"/>
            <w:vAlign w:val="center"/>
          </w:tcPr>
          <w:p w14:paraId="5005F131">
            <w:pPr>
              <w:pStyle w:val="8"/>
              <w:jc w:val="center"/>
              <w:rPr>
                <w:rFonts w:hint="eastAsia"/>
                <w:sz w:val="24"/>
                <w:highlight w:val="none"/>
              </w:rPr>
            </w:pPr>
            <w:r>
              <w:rPr>
                <w:rFonts w:hint="eastAsia"/>
                <w:sz w:val="24"/>
                <w:highlight w:val="none"/>
              </w:rPr>
              <w:t>付款方式</w:t>
            </w:r>
          </w:p>
        </w:tc>
        <w:tc>
          <w:tcPr>
            <w:tcW w:w="5787" w:type="dxa"/>
            <w:noWrap w:val="0"/>
            <w:vAlign w:val="center"/>
          </w:tcPr>
          <w:p w14:paraId="58BE752D">
            <w:pPr>
              <w:spacing w:line="400" w:lineRule="exact"/>
              <w:jc w:val="left"/>
              <w:rPr>
                <w:rFonts w:hint="eastAsia"/>
                <w:sz w:val="24"/>
                <w:highlight w:val="none"/>
              </w:rPr>
            </w:pPr>
            <w:r>
              <w:rPr>
                <w:rFonts w:hint="eastAsia"/>
                <w:sz w:val="24"/>
                <w:highlight w:val="none"/>
              </w:rPr>
              <w:t>验收合格后，采购人一次性支付全额货款</w:t>
            </w:r>
          </w:p>
        </w:tc>
      </w:tr>
      <w:tr w14:paraId="606F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41" w:type="dxa"/>
            <w:noWrap w:val="0"/>
            <w:vAlign w:val="center"/>
          </w:tcPr>
          <w:p w14:paraId="2A97A771">
            <w:pPr>
              <w:pStyle w:val="8"/>
              <w:jc w:val="center"/>
              <w:rPr>
                <w:rFonts w:hint="eastAsia"/>
                <w:sz w:val="24"/>
                <w:highlight w:val="none"/>
              </w:rPr>
            </w:pPr>
            <w:r>
              <w:rPr>
                <w:rFonts w:hint="eastAsia"/>
                <w:sz w:val="24"/>
                <w:highlight w:val="none"/>
              </w:rPr>
              <w:t>2</w:t>
            </w:r>
          </w:p>
        </w:tc>
        <w:tc>
          <w:tcPr>
            <w:tcW w:w="2250" w:type="dxa"/>
            <w:noWrap w:val="0"/>
            <w:vAlign w:val="center"/>
          </w:tcPr>
          <w:p w14:paraId="201BA419">
            <w:pPr>
              <w:pStyle w:val="8"/>
              <w:jc w:val="center"/>
              <w:rPr>
                <w:rFonts w:hint="eastAsia"/>
                <w:sz w:val="24"/>
                <w:highlight w:val="none"/>
              </w:rPr>
            </w:pPr>
            <w:r>
              <w:rPr>
                <w:rFonts w:hint="eastAsia"/>
                <w:sz w:val="24"/>
                <w:highlight w:val="none"/>
              </w:rPr>
              <w:t>供货及服务地点</w:t>
            </w:r>
          </w:p>
        </w:tc>
        <w:tc>
          <w:tcPr>
            <w:tcW w:w="5787" w:type="dxa"/>
            <w:noWrap w:val="0"/>
            <w:vAlign w:val="center"/>
          </w:tcPr>
          <w:p w14:paraId="033CB5D5">
            <w:pPr>
              <w:pStyle w:val="8"/>
              <w:jc w:val="left"/>
              <w:rPr>
                <w:rFonts w:hint="eastAsia"/>
                <w:sz w:val="24"/>
                <w:highlight w:val="none"/>
              </w:rPr>
            </w:pPr>
            <w:r>
              <w:rPr>
                <w:rFonts w:hint="eastAsia"/>
                <w:sz w:val="24"/>
                <w:highlight w:val="none"/>
              </w:rPr>
              <w:t>合肥工业大学</w:t>
            </w:r>
          </w:p>
        </w:tc>
      </w:tr>
      <w:tr w14:paraId="68B9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1" w:type="dxa"/>
            <w:noWrap w:val="0"/>
            <w:vAlign w:val="center"/>
          </w:tcPr>
          <w:p w14:paraId="2677E0AF">
            <w:pPr>
              <w:pStyle w:val="8"/>
              <w:jc w:val="center"/>
              <w:rPr>
                <w:rFonts w:hint="eastAsia"/>
                <w:sz w:val="24"/>
                <w:highlight w:val="none"/>
              </w:rPr>
            </w:pPr>
            <w:r>
              <w:rPr>
                <w:rFonts w:hint="eastAsia"/>
                <w:sz w:val="24"/>
                <w:highlight w:val="none"/>
              </w:rPr>
              <w:t>3</w:t>
            </w:r>
          </w:p>
        </w:tc>
        <w:tc>
          <w:tcPr>
            <w:tcW w:w="2250" w:type="dxa"/>
            <w:noWrap w:val="0"/>
            <w:vAlign w:val="center"/>
          </w:tcPr>
          <w:p w14:paraId="67F2A89E">
            <w:pPr>
              <w:spacing w:line="500" w:lineRule="exact"/>
              <w:jc w:val="center"/>
              <w:rPr>
                <w:sz w:val="24"/>
                <w:highlight w:val="none"/>
              </w:rPr>
            </w:pPr>
            <w:r>
              <w:rPr>
                <w:rFonts w:hint="eastAsia" w:ascii="宋体" w:hAnsi="宋体"/>
                <w:sz w:val="24"/>
                <w:highlight w:val="none"/>
              </w:rPr>
              <w:t>供货及安装期限</w:t>
            </w:r>
          </w:p>
        </w:tc>
        <w:tc>
          <w:tcPr>
            <w:tcW w:w="5787" w:type="dxa"/>
            <w:noWrap w:val="0"/>
            <w:vAlign w:val="center"/>
          </w:tcPr>
          <w:p w14:paraId="58E4C7A7">
            <w:pPr>
              <w:spacing w:line="500" w:lineRule="exact"/>
              <w:jc w:val="left"/>
              <w:rPr>
                <w:rFonts w:hint="eastAsia" w:eastAsia="宋体"/>
                <w:sz w:val="24"/>
                <w:highlight w:val="none"/>
                <w:lang w:eastAsia="zh-CN"/>
              </w:rPr>
            </w:pPr>
            <w:r>
              <w:rPr>
                <w:rFonts w:hint="eastAsia"/>
                <w:sz w:val="24"/>
                <w:highlight w:val="none"/>
                <w:lang w:eastAsia="zh-CN"/>
              </w:rPr>
              <w:t>合同签订后3个月内完成供货安装调试</w:t>
            </w:r>
          </w:p>
        </w:tc>
      </w:tr>
      <w:tr w14:paraId="720C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1" w:type="dxa"/>
            <w:noWrap w:val="0"/>
            <w:vAlign w:val="center"/>
          </w:tcPr>
          <w:p w14:paraId="00067E41">
            <w:pPr>
              <w:pStyle w:val="8"/>
              <w:jc w:val="center"/>
              <w:rPr>
                <w:sz w:val="24"/>
                <w:highlight w:val="none"/>
              </w:rPr>
            </w:pPr>
            <w:r>
              <w:rPr>
                <w:rFonts w:hint="eastAsia"/>
                <w:sz w:val="24"/>
                <w:highlight w:val="none"/>
              </w:rPr>
              <w:t>4</w:t>
            </w:r>
          </w:p>
        </w:tc>
        <w:tc>
          <w:tcPr>
            <w:tcW w:w="2250" w:type="dxa"/>
            <w:noWrap w:val="0"/>
            <w:vAlign w:val="center"/>
          </w:tcPr>
          <w:p w14:paraId="65D26A30">
            <w:pPr>
              <w:spacing w:line="500" w:lineRule="exact"/>
              <w:jc w:val="center"/>
              <w:rPr>
                <w:rFonts w:hint="eastAsia"/>
                <w:sz w:val="24"/>
                <w:highlight w:val="none"/>
              </w:rPr>
            </w:pPr>
            <w:r>
              <w:rPr>
                <w:rFonts w:hint="eastAsia" w:ascii="宋体" w:hAnsi="宋体"/>
                <w:sz w:val="24"/>
                <w:highlight w:val="none"/>
                <w:lang w:val="zh-CN"/>
              </w:rPr>
              <w:t>免费质保期</w:t>
            </w:r>
          </w:p>
        </w:tc>
        <w:tc>
          <w:tcPr>
            <w:tcW w:w="5787" w:type="dxa"/>
            <w:noWrap w:val="0"/>
            <w:vAlign w:val="center"/>
          </w:tcPr>
          <w:p w14:paraId="2C14AED5">
            <w:pPr>
              <w:spacing w:line="500" w:lineRule="exact"/>
              <w:jc w:val="left"/>
              <w:rPr>
                <w:rFonts w:hint="eastAsia"/>
                <w:sz w:val="24"/>
                <w:highlight w:val="none"/>
              </w:rPr>
            </w:pPr>
            <w:r>
              <w:rPr>
                <w:rFonts w:hint="eastAsia" w:ascii="宋体" w:hAnsi="宋体"/>
                <w:sz w:val="24"/>
                <w:highlight w:val="none"/>
              </w:rPr>
              <w:t>本项目免费质量保证期要求不低于</w:t>
            </w:r>
            <w:r>
              <w:rPr>
                <w:rFonts w:hint="eastAsia" w:ascii="宋体" w:hAnsi="宋体"/>
                <w:sz w:val="24"/>
                <w:highlight w:val="none"/>
                <w:lang w:val="en-US" w:eastAsia="zh-CN"/>
              </w:rPr>
              <w:t>3</w:t>
            </w:r>
            <w:r>
              <w:rPr>
                <w:rFonts w:hint="eastAsia" w:ascii="宋体" w:hAnsi="宋体"/>
                <w:sz w:val="24"/>
                <w:highlight w:val="none"/>
              </w:rPr>
              <w:t xml:space="preserve"> 年。免费质量保证期从货物供货、安装、调试正常且经采购人综合运行验收合格后开始计算。</w:t>
            </w:r>
          </w:p>
        </w:tc>
      </w:tr>
      <w:tr w14:paraId="5DDB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1" w:type="dxa"/>
            <w:noWrap w:val="0"/>
            <w:vAlign w:val="center"/>
          </w:tcPr>
          <w:p w14:paraId="2DDD0EA5">
            <w:pPr>
              <w:pStyle w:val="8"/>
              <w:jc w:val="center"/>
              <w:rPr>
                <w:sz w:val="24"/>
                <w:highlight w:val="none"/>
              </w:rPr>
            </w:pPr>
            <w:r>
              <w:rPr>
                <w:rFonts w:hint="eastAsia"/>
                <w:sz w:val="24"/>
                <w:highlight w:val="none"/>
              </w:rPr>
              <w:t>5</w:t>
            </w:r>
          </w:p>
        </w:tc>
        <w:tc>
          <w:tcPr>
            <w:tcW w:w="2250" w:type="dxa"/>
            <w:noWrap w:val="0"/>
            <w:vAlign w:val="center"/>
          </w:tcPr>
          <w:p w14:paraId="1B8B3526">
            <w:pPr>
              <w:pStyle w:val="8"/>
              <w:jc w:val="center"/>
              <w:rPr>
                <w:rFonts w:hint="eastAsia"/>
                <w:kern w:val="2"/>
                <w:sz w:val="24"/>
                <w:szCs w:val="24"/>
                <w:highlight w:val="none"/>
                <w:lang w:val="en-US" w:eastAsia="zh-CN" w:bidi="ar-SA"/>
              </w:rPr>
            </w:pPr>
            <w:r>
              <w:rPr>
                <w:rFonts w:hint="eastAsia" w:ascii="Times New Roman" w:hAnsi="Times New Roman" w:eastAsia="宋体" w:cs="Times New Roman"/>
                <w:sz w:val="24"/>
              </w:rPr>
              <w:t>指标类型</w:t>
            </w:r>
          </w:p>
        </w:tc>
        <w:tc>
          <w:tcPr>
            <w:tcW w:w="5787" w:type="dxa"/>
            <w:noWrap w:val="0"/>
            <w:vAlign w:val="center"/>
          </w:tcPr>
          <w:p w14:paraId="754B2186">
            <w:pPr>
              <w:pStyle w:val="8"/>
              <w:jc w:val="both"/>
              <w:rPr>
                <w:rFonts w:hint="eastAsia"/>
                <w:kern w:val="2"/>
                <w:sz w:val="24"/>
                <w:szCs w:val="24"/>
                <w:highlight w:val="none"/>
                <w:lang w:val="en-US" w:eastAsia="zh-CN" w:bidi="ar-SA"/>
              </w:rPr>
            </w:pPr>
            <w:r>
              <w:rPr>
                <w:rFonts w:hint="eastAsia" w:ascii="Times New Roman" w:hAnsi="Times New Roman" w:eastAsia="宋体" w:cs="Times New Roman"/>
                <w:sz w:val="24"/>
              </w:rPr>
              <w:t>指标类型“▲”为核心产品，★为重要指标，其它均为一般指标。</w:t>
            </w:r>
          </w:p>
        </w:tc>
      </w:tr>
      <w:tr w14:paraId="39EB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1" w:type="dxa"/>
            <w:noWrap w:val="0"/>
            <w:vAlign w:val="center"/>
          </w:tcPr>
          <w:p w14:paraId="4FCF001D">
            <w:pPr>
              <w:pStyle w:val="8"/>
              <w:jc w:val="center"/>
              <w:rPr>
                <w:rFonts w:hint="eastAsia" w:eastAsia="宋体"/>
                <w:sz w:val="24"/>
                <w:highlight w:val="none"/>
                <w:lang w:val="en-US" w:eastAsia="zh-CN"/>
              </w:rPr>
            </w:pPr>
            <w:r>
              <w:rPr>
                <w:rFonts w:hint="eastAsia"/>
                <w:sz w:val="24"/>
                <w:highlight w:val="none"/>
                <w:lang w:val="en-US" w:eastAsia="zh-CN"/>
              </w:rPr>
              <w:t>6</w:t>
            </w:r>
          </w:p>
        </w:tc>
        <w:tc>
          <w:tcPr>
            <w:tcW w:w="2250" w:type="dxa"/>
            <w:noWrap w:val="0"/>
            <w:vAlign w:val="center"/>
          </w:tcPr>
          <w:p w14:paraId="4231A4AB">
            <w:pPr>
              <w:pStyle w:val="8"/>
              <w:jc w:val="center"/>
              <w:rPr>
                <w:rFonts w:hint="eastAsia"/>
                <w:kern w:val="2"/>
                <w:sz w:val="24"/>
                <w:szCs w:val="24"/>
                <w:highlight w:val="none"/>
                <w:lang w:val="en-US" w:eastAsia="zh-CN" w:bidi="ar-SA"/>
              </w:rPr>
            </w:pPr>
            <w:r>
              <w:rPr>
                <w:rFonts w:hint="eastAsia"/>
                <w:sz w:val="24"/>
                <w:highlight w:val="none"/>
              </w:rPr>
              <w:t>所属行业</w:t>
            </w:r>
          </w:p>
        </w:tc>
        <w:tc>
          <w:tcPr>
            <w:tcW w:w="5787" w:type="dxa"/>
            <w:noWrap w:val="0"/>
            <w:vAlign w:val="center"/>
          </w:tcPr>
          <w:p w14:paraId="6472595B">
            <w:pPr>
              <w:pStyle w:val="8"/>
              <w:jc w:val="both"/>
              <w:rPr>
                <w:rFonts w:hint="eastAsia"/>
                <w:sz w:val="24"/>
                <w:highlight w:val="none"/>
              </w:rPr>
            </w:pPr>
            <w:r>
              <w:rPr>
                <w:rFonts w:hint="eastAsia" w:ascii="宋体" w:hAnsi="宋体" w:eastAsia="宋体" w:cs="宋体"/>
                <w:kern w:val="0"/>
                <w:sz w:val="24"/>
                <w:szCs w:val="24"/>
                <w:lang w:eastAsia="zh-CN"/>
              </w:rPr>
              <w:t>“</w:t>
            </w:r>
            <w:r>
              <w:rPr>
                <w:rFonts w:hint="eastAsia" w:ascii="宋体" w:hAnsi="宋体" w:eastAsia="宋体" w:cs="宋体"/>
                <w:sz w:val="24"/>
              </w:rPr>
              <w:t>光频域调制解调器</w:t>
            </w:r>
            <w:r>
              <w:rPr>
                <w:rFonts w:hint="eastAsia" w:ascii="宋体" w:hAnsi="宋体" w:eastAsia="宋体" w:cs="宋体"/>
                <w:sz w:val="24"/>
                <w:lang w:eastAsia="zh-CN"/>
              </w:rPr>
              <w:t>、</w:t>
            </w:r>
            <w:r>
              <w:rPr>
                <w:rFonts w:hint="eastAsia" w:ascii="宋体" w:hAnsi="宋体" w:eastAsia="宋体" w:cs="宋体"/>
                <w:kern w:val="0"/>
                <w:sz w:val="24"/>
                <w:szCs w:val="24"/>
              </w:rPr>
              <w:t>宽带线性扫频光源</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属于</w:t>
            </w:r>
            <w:r>
              <w:rPr>
                <w:rFonts w:hint="eastAsia"/>
                <w:sz w:val="24"/>
                <w:highlight w:val="none"/>
              </w:rPr>
              <w:t>工业</w:t>
            </w:r>
          </w:p>
          <w:p w14:paraId="15D55E3B">
            <w:pPr>
              <w:pStyle w:val="9"/>
              <w:rPr>
                <w:rFonts w:hint="eastAsia" w:eastAsia="宋体"/>
                <w:lang w:val="en-US" w:eastAsia="zh-CN"/>
              </w:rPr>
            </w:pPr>
            <w:r>
              <w:rPr>
                <w:rFonts w:hint="eastAsia" w:ascii="宋体" w:hAnsi="宋体" w:eastAsia="宋体" w:cs="宋体"/>
                <w:sz w:val="24"/>
                <w:lang w:val="en-US" w:eastAsia="zh-CN"/>
              </w:rPr>
              <w:t>“</w:t>
            </w:r>
            <w:r>
              <w:rPr>
                <w:rFonts w:hint="eastAsia" w:ascii="宋体" w:hAnsi="宋体" w:eastAsia="宋体" w:cs="宋体"/>
                <w:sz w:val="24"/>
              </w:rPr>
              <w:t>高精度温度应变软件控制系统</w:t>
            </w:r>
            <w:r>
              <w:rPr>
                <w:rFonts w:hint="eastAsia" w:ascii="宋体" w:hAnsi="宋体" w:eastAsia="宋体" w:cs="宋体"/>
                <w:sz w:val="24"/>
                <w:lang w:val="en-US" w:eastAsia="zh-CN"/>
              </w:rPr>
              <w:t>”属于软件和信息技术服务业。</w:t>
            </w:r>
          </w:p>
        </w:tc>
      </w:tr>
    </w:tbl>
    <w:p w14:paraId="0E08450C">
      <w:pPr>
        <w:pStyle w:val="8"/>
        <w:rPr>
          <w:rFonts w:hint="eastAsia"/>
          <w:highlight w:val="none"/>
        </w:rPr>
      </w:pPr>
    </w:p>
    <w:p w14:paraId="35396D85">
      <w:pPr>
        <w:autoSpaceDE w:val="0"/>
        <w:autoSpaceDN w:val="0"/>
        <w:adjustRightInd w:val="0"/>
        <w:spacing w:line="360" w:lineRule="auto"/>
        <w:rPr>
          <w:rFonts w:hint="eastAsia" w:ascii="宋体" w:hAnsi="宋体"/>
          <w:sz w:val="24"/>
          <w:szCs w:val="28"/>
          <w:highlight w:val="none"/>
        </w:rPr>
      </w:pPr>
      <w:r>
        <w:rPr>
          <w:rFonts w:hint="eastAsia" w:ascii="宋体" w:hAnsi="宋体" w:cs="宋体"/>
          <w:b w:val="0"/>
          <w:bCs w:val="0"/>
          <w:sz w:val="24"/>
          <w:highlight w:val="none"/>
          <w:lang w:val="en-US" w:eastAsia="zh-CN"/>
        </w:rPr>
        <w:t>12、</w:t>
      </w:r>
      <w:r>
        <w:rPr>
          <w:rFonts w:hint="eastAsia" w:ascii="宋体" w:hAnsi="宋体"/>
          <w:sz w:val="24"/>
          <w:szCs w:val="28"/>
          <w:highlight w:val="none"/>
        </w:rPr>
        <w:t>具体需求如下：</w:t>
      </w:r>
    </w:p>
    <w:tbl>
      <w:tblPr>
        <w:tblStyle w:val="10"/>
        <w:tblW w:w="55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271"/>
        <w:gridCol w:w="5178"/>
        <w:gridCol w:w="774"/>
        <w:gridCol w:w="1022"/>
        <w:gridCol w:w="1022"/>
        <w:gridCol w:w="1186"/>
      </w:tblGrid>
      <w:tr w14:paraId="7DE3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noWrap w:val="0"/>
            <w:vAlign w:val="center"/>
          </w:tcPr>
          <w:p w14:paraId="0051F5AD">
            <w:pPr>
              <w:spacing w:line="400" w:lineRule="exact"/>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578" w:type="pct"/>
            <w:noWrap w:val="0"/>
            <w:vAlign w:val="center"/>
          </w:tcPr>
          <w:p w14:paraId="04CE3808">
            <w:pPr>
              <w:spacing w:line="400" w:lineRule="exact"/>
              <w:jc w:val="center"/>
              <w:rPr>
                <w:rFonts w:hint="eastAsia" w:ascii="宋体" w:hAnsi="宋体" w:cs="宋体"/>
                <w:b/>
                <w:bCs/>
                <w:kern w:val="0"/>
                <w:sz w:val="24"/>
                <w:highlight w:val="none"/>
              </w:rPr>
            </w:pPr>
            <w:r>
              <w:rPr>
                <w:rFonts w:hint="eastAsia" w:ascii="宋体" w:hAnsi="宋体" w:cs="宋体"/>
                <w:b/>
                <w:bCs/>
                <w:kern w:val="0"/>
                <w:sz w:val="24"/>
                <w:highlight w:val="none"/>
              </w:rPr>
              <w:t>产品名称</w:t>
            </w:r>
          </w:p>
        </w:tc>
        <w:tc>
          <w:tcPr>
            <w:tcW w:w="2355" w:type="pct"/>
            <w:noWrap w:val="0"/>
            <w:vAlign w:val="center"/>
          </w:tcPr>
          <w:p w14:paraId="5EB8AD9D">
            <w:pPr>
              <w:spacing w:line="400" w:lineRule="exact"/>
              <w:jc w:val="center"/>
              <w:rPr>
                <w:rFonts w:hint="eastAsia" w:ascii="宋体" w:hAnsi="宋体" w:cs="宋体"/>
                <w:b/>
                <w:bCs/>
                <w:kern w:val="0"/>
                <w:sz w:val="24"/>
                <w:highlight w:val="none"/>
              </w:rPr>
            </w:pPr>
            <w:r>
              <w:rPr>
                <w:rFonts w:hint="eastAsia" w:ascii="宋体" w:hAnsi="宋体" w:cs="宋体"/>
                <w:b/>
                <w:bCs/>
                <w:kern w:val="0"/>
                <w:sz w:val="24"/>
                <w:highlight w:val="none"/>
              </w:rPr>
              <w:t>技术参数、性能要求</w:t>
            </w:r>
          </w:p>
        </w:tc>
        <w:tc>
          <w:tcPr>
            <w:tcW w:w="352" w:type="pct"/>
            <w:noWrap w:val="0"/>
            <w:vAlign w:val="center"/>
          </w:tcPr>
          <w:p w14:paraId="5CE432B9">
            <w:pPr>
              <w:spacing w:line="400" w:lineRule="exact"/>
              <w:jc w:val="center"/>
              <w:rPr>
                <w:rFonts w:hint="eastAsia" w:ascii="宋体" w:hAnsi="宋体" w:cs="宋体"/>
                <w:b/>
                <w:bCs/>
                <w:kern w:val="0"/>
                <w:sz w:val="24"/>
                <w:highlight w:val="none"/>
              </w:rPr>
            </w:pPr>
            <w:r>
              <w:rPr>
                <w:rFonts w:hint="eastAsia" w:ascii="宋体" w:hAnsi="宋体" w:cs="宋体"/>
                <w:b/>
                <w:bCs/>
                <w:kern w:val="0"/>
                <w:sz w:val="24"/>
                <w:highlight w:val="none"/>
              </w:rPr>
              <w:t>数量</w:t>
            </w:r>
          </w:p>
          <w:p w14:paraId="303B8476">
            <w:pPr>
              <w:spacing w:line="400" w:lineRule="exact"/>
              <w:jc w:val="center"/>
              <w:rPr>
                <w:rFonts w:hint="eastAsia" w:ascii="宋体" w:hAnsi="宋体" w:cs="宋体"/>
                <w:b/>
                <w:bCs/>
                <w:kern w:val="0"/>
                <w:sz w:val="24"/>
                <w:highlight w:val="none"/>
              </w:rPr>
            </w:pPr>
            <w:r>
              <w:rPr>
                <w:rFonts w:hint="eastAsia" w:ascii="宋体" w:hAnsi="宋体" w:cs="宋体"/>
                <w:b/>
                <w:bCs/>
                <w:kern w:val="0"/>
                <w:sz w:val="24"/>
                <w:highlight w:val="none"/>
              </w:rPr>
              <w:t>（单位）</w:t>
            </w:r>
          </w:p>
        </w:tc>
        <w:tc>
          <w:tcPr>
            <w:tcW w:w="465" w:type="pct"/>
            <w:noWrap w:val="0"/>
            <w:vAlign w:val="center"/>
          </w:tcPr>
          <w:p w14:paraId="349883A0">
            <w:pPr>
              <w:spacing w:line="400" w:lineRule="exact"/>
              <w:jc w:val="center"/>
              <w:rPr>
                <w:rFonts w:hint="default" w:ascii="宋体" w:hAnsi="宋体" w:eastAsia="宋体" w:cs="宋体"/>
                <w:b/>
                <w:iCs/>
                <w:sz w:val="24"/>
                <w:highlight w:val="none"/>
                <w:lang w:val="en-US" w:eastAsia="zh-CN"/>
              </w:rPr>
            </w:pPr>
            <w:r>
              <w:rPr>
                <w:rFonts w:hint="eastAsia" w:ascii="宋体" w:hAnsi="宋体" w:cs="宋体"/>
                <w:b/>
                <w:iCs/>
                <w:sz w:val="24"/>
                <w:highlight w:val="none"/>
                <w:lang w:val="en-US" w:eastAsia="zh-CN"/>
              </w:rPr>
              <w:t>单项控制价（万元）</w:t>
            </w:r>
          </w:p>
        </w:tc>
        <w:tc>
          <w:tcPr>
            <w:tcW w:w="465" w:type="pct"/>
            <w:noWrap w:val="0"/>
            <w:vAlign w:val="center"/>
          </w:tcPr>
          <w:p w14:paraId="5F27F261">
            <w:pPr>
              <w:spacing w:line="400" w:lineRule="exact"/>
              <w:jc w:val="center"/>
              <w:rPr>
                <w:rFonts w:hint="eastAsia" w:ascii="宋体" w:hAnsi="宋体" w:cs="宋体"/>
                <w:b/>
                <w:bCs/>
                <w:kern w:val="0"/>
                <w:sz w:val="24"/>
                <w:highlight w:val="none"/>
              </w:rPr>
            </w:pPr>
            <w:r>
              <w:rPr>
                <w:rFonts w:hint="eastAsia" w:ascii="宋体" w:hAnsi="宋体" w:cs="宋体"/>
                <w:b/>
                <w:iCs/>
                <w:sz w:val="24"/>
                <w:highlight w:val="none"/>
              </w:rPr>
              <w:t>证明材料要求</w:t>
            </w:r>
          </w:p>
        </w:tc>
        <w:tc>
          <w:tcPr>
            <w:tcW w:w="539" w:type="pct"/>
            <w:noWrap w:val="0"/>
            <w:vAlign w:val="center"/>
          </w:tcPr>
          <w:p w14:paraId="55708959">
            <w:pPr>
              <w:spacing w:line="400" w:lineRule="exact"/>
              <w:jc w:val="center"/>
              <w:rPr>
                <w:rFonts w:hint="eastAsia" w:ascii="宋体" w:hAnsi="宋体" w:cs="宋体"/>
                <w:b/>
                <w:bCs/>
                <w:kern w:val="0"/>
                <w:sz w:val="24"/>
                <w:highlight w:val="none"/>
              </w:rPr>
            </w:pPr>
            <w:r>
              <w:rPr>
                <w:rFonts w:hint="eastAsia" w:ascii="宋体" w:hAnsi="宋体" w:cs="宋体"/>
                <w:b/>
                <w:bCs/>
                <w:sz w:val="24"/>
                <w:highlight w:val="none"/>
              </w:rPr>
              <w:t>备注（进口或强制节能）</w:t>
            </w:r>
          </w:p>
        </w:tc>
      </w:tr>
      <w:tr w14:paraId="58F2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44" w:type="pct"/>
            <w:noWrap w:val="0"/>
            <w:vAlign w:val="center"/>
          </w:tcPr>
          <w:p w14:paraId="4D2A2A8C">
            <w:pPr>
              <w:spacing w:line="400" w:lineRule="exact"/>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w:t>
            </w:r>
          </w:p>
        </w:tc>
        <w:tc>
          <w:tcPr>
            <w:tcW w:w="578" w:type="pct"/>
            <w:noWrap w:val="0"/>
            <w:vAlign w:val="center"/>
          </w:tcPr>
          <w:p w14:paraId="069565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4"/>
                <w:highlight w:val="none"/>
              </w:rPr>
            </w:pPr>
            <w:r>
              <w:rPr>
                <w:rFonts w:hint="eastAsia" w:ascii="宋体" w:hAnsi="宋体" w:eastAsia="宋体" w:cs="宋体"/>
                <w:sz w:val="24"/>
              </w:rPr>
              <w:t>光频域调制解调器</w:t>
            </w:r>
          </w:p>
        </w:tc>
        <w:tc>
          <w:tcPr>
            <w:tcW w:w="2355" w:type="pct"/>
            <w:noWrap w:val="0"/>
            <w:vAlign w:val="center"/>
          </w:tcPr>
          <w:p w14:paraId="2562A1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测量通</w:t>
            </w:r>
            <w:r>
              <w:rPr>
                <w:rFonts w:hint="eastAsia" w:ascii="宋体" w:hAnsi="宋体" w:eastAsia="宋体" w:cs="宋体"/>
                <w:kern w:val="2"/>
                <w:sz w:val="24"/>
                <w:szCs w:val="24"/>
                <w:highlight w:val="none"/>
                <w:lang w:val="en-US" w:eastAsia="zh-CN" w:bidi="ar-SA"/>
              </w:rPr>
              <w:t>道数：≥4</w:t>
            </w:r>
          </w:p>
          <w:p w14:paraId="1905B4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每通道解调长度：≤100 m</w:t>
            </w:r>
          </w:p>
          <w:p w14:paraId="47C27F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cs="宋体"/>
                <w:sz w:val="24"/>
                <w:highlight w:val="none"/>
              </w:rPr>
              <w:t>★</w:t>
            </w:r>
            <w:r>
              <w:rPr>
                <w:rFonts w:hint="eastAsia" w:ascii="宋体" w:hAnsi="宋体" w:eastAsia="宋体" w:cs="宋体"/>
                <w:kern w:val="2"/>
                <w:sz w:val="24"/>
                <w:szCs w:val="24"/>
                <w:lang w:val="en-US" w:eastAsia="zh-CN" w:bidi="ar-SA"/>
              </w:rPr>
              <w:t>应变重复精度：±2 με</w:t>
            </w:r>
          </w:p>
          <w:p w14:paraId="5D67DC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cs="宋体"/>
                <w:sz w:val="24"/>
                <w:highlight w:val="none"/>
              </w:rPr>
              <w:t>★</w:t>
            </w:r>
            <w:r>
              <w:rPr>
                <w:rFonts w:hint="eastAsia" w:ascii="宋体" w:hAnsi="宋体" w:eastAsia="宋体" w:cs="宋体"/>
                <w:kern w:val="2"/>
                <w:sz w:val="24"/>
                <w:szCs w:val="24"/>
                <w:lang w:val="en-US" w:eastAsia="zh-CN" w:bidi="ar-SA"/>
              </w:rPr>
              <w:t>应变测量范围：±12000 με</w:t>
            </w:r>
          </w:p>
          <w:p w14:paraId="509164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光纤接口：FC/APC或LC/APC</w:t>
            </w:r>
          </w:p>
        </w:tc>
        <w:tc>
          <w:tcPr>
            <w:tcW w:w="352" w:type="pct"/>
            <w:noWrap w:val="0"/>
            <w:vAlign w:val="center"/>
          </w:tcPr>
          <w:p w14:paraId="264B813D">
            <w:pPr>
              <w:spacing w:line="360" w:lineRule="auto"/>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w:t>
            </w:r>
          </w:p>
        </w:tc>
        <w:tc>
          <w:tcPr>
            <w:tcW w:w="465" w:type="pct"/>
            <w:noWrap w:val="0"/>
            <w:vAlign w:val="center"/>
          </w:tcPr>
          <w:p w14:paraId="0A220E69">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33</w:t>
            </w:r>
          </w:p>
        </w:tc>
        <w:tc>
          <w:tcPr>
            <w:tcW w:w="465" w:type="pct"/>
            <w:vMerge w:val="restart"/>
            <w:noWrap w:val="0"/>
            <w:vAlign w:val="center"/>
          </w:tcPr>
          <w:p w14:paraId="4B0856A9">
            <w:pPr>
              <w:spacing w:line="360" w:lineRule="auto"/>
              <w:jc w:val="center"/>
              <w:rPr>
                <w:rFonts w:hint="eastAsia" w:ascii="宋体" w:hAnsi="宋体" w:cs="宋体"/>
                <w:bCs/>
                <w:sz w:val="24"/>
                <w:highlight w:val="none"/>
              </w:rPr>
            </w:pPr>
            <w:r>
              <w:rPr>
                <w:rFonts w:hint="eastAsia" w:ascii="宋体" w:hAnsi="宋体" w:cs="宋体"/>
                <w:sz w:val="24"/>
                <w:highlight w:val="none"/>
              </w:rPr>
              <w:t>★指标项的证明材料，证明材料可以使用产品官方网站截图或产品彩页或技术说明书或第三方有权机构出具的检验报告</w:t>
            </w:r>
          </w:p>
        </w:tc>
        <w:tc>
          <w:tcPr>
            <w:tcW w:w="539" w:type="pct"/>
            <w:noWrap w:val="0"/>
            <w:vAlign w:val="center"/>
          </w:tcPr>
          <w:p w14:paraId="3DC229CD">
            <w:pPr>
              <w:spacing w:line="360"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国产</w:t>
            </w:r>
          </w:p>
        </w:tc>
      </w:tr>
      <w:tr w14:paraId="54CC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44" w:type="pct"/>
            <w:noWrap w:val="0"/>
            <w:vAlign w:val="center"/>
          </w:tcPr>
          <w:p w14:paraId="06C32D32">
            <w:pPr>
              <w:spacing w:line="400" w:lineRule="exact"/>
              <w:jc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2</w:t>
            </w:r>
          </w:p>
        </w:tc>
        <w:tc>
          <w:tcPr>
            <w:tcW w:w="578" w:type="pct"/>
            <w:noWrap w:val="0"/>
            <w:vAlign w:val="center"/>
          </w:tcPr>
          <w:p w14:paraId="4CC11B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rPr>
              <w:t>高精度温度应变软件控制系统</w:t>
            </w:r>
          </w:p>
        </w:tc>
        <w:tc>
          <w:tcPr>
            <w:tcW w:w="2355" w:type="pct"/>
            <w:noWrap w:val="0"/>
            <w:vAlign w:val="top"/>
          </w:tcPr>
          <w:p w14:paraId="5177F0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控制软件能够实时采集、实时保存、测试曲线显示，软件可选择传感光纤段，具有配置扫描参数和具有修改光纤传感系数的功能。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软件支持保存原始数据，可直接保存文本文件，保存的原始数据经过转化后可保存为文本数据。</w:t>
            </w:r>
            <w:r>
              <w:rPr>
                <w:rFonts w:hint="eastAsia" w:ascii="宋体" w:hAnsi="宋体" w:eastAsia="宋体" w:cs="宋体"/>
                <w:kern w:val="0"/>
                <w:sz w:val="24"/>
                <w:szCs w:val="24"/>
              </w:rPr>
              <w:br w:type="textWrapping"/>
            </w:r>
            <w:r>
              <w:rPr>
                <w:rFonts w:hint="eastAsia" w:ascii="宋体" w:hAnsi="宋体" w:cs="宋体"/>
                <w:sz w:val="24"/>
                <w:highlight w:val="none"/>
              </w:rPr>
              <w:t>★</w:t>
            </w:r>
            <w:r>
              <w:rPr>
                <w:rFonts w:hint="eastAsia" w:ascii="宋体" w:hAnsi="宋体" w:eastAsia="宋体" w:cs="宋体"/>
                <w:kern w:val="0"/>
                <w:sz w:val="24"/>
                <w:szCs w:val="24"/>
              </w:rPr>
              <w:t>最高空间分辨率：1mm</w:t>
            </w:r>
            <w:r>
              <w:rPr>
                <w:rFonts w:hint="eastAsia" w:ascii="宋体" w:hAnsi="宋体" w:eastAsia="宋体" w:cs="宋体"/>
                <w:kern w:val="0"/>
                <w:sz w:val="24"/>
                <w:szCs w:val="24"/>
              </w:rPr>
              <w:br w:type="textWrapping"/>
            </w:r>
            <w:r>
              <w:rPr>
                <w:rFonts w:hint="eastAsia" w:ascii="宋体" w:hAnsi="宋体" w:cs="宋体"/>
                <w:sz w:val="24"/>
                <w:highlight w:val="none"/>
              </w:rPr>
              <w:t>★</w:t>
            </w:r>
            <w:r>
              <w:rPr>
                <w:rFonts w:hint="eastAsia" w:ascii="宋体" w:hAnsi="宋体" w:eastAsia="宋体" w:cs="宋体"/>
                <w:kern w:val="0"/>
                <w:sz w:val="24"/>
                <w:szCs w:val="24"/>
              </w:rPr>
              <w:t>空间分辨率：1mm~10cm至少五档可调</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传感器标距可调</w:t>
            </w:r>
            <w:r>
              <w:rPr>
                <w:rFonts w:hint="eastAsia" w:ascii="宋体" w:hAnsi="宋体" w:eastAsia="宋体" w:cs="宋体"/>
                <w:kern w:val="0"/>
                <w:sz w:val="24"/>
                <w:szCs w:val="24"/>
              </w:rPr>
              <w:br w:type="textWrapping"/>
            </w:r>
            <w:r>
              <w:rPr>
                <w:rFonts w:hint="eastAsia" w:ascii="宋体" w:hAnsi="宋体" w:cs="宋体"/>
                <w:sz w:val="24"/>
                <w:highlight w:val="none"/>
              </w:rPr>
              <w:t>★</w:t>
            </w:r>
            <w:r>
              <w:rPr>
                <w:rFonts w:hint="eastAsia" w:ascii="宋体" w:hAnsi="宋体" w:eastAsia="宋体" w:cs="宋体"/>
                <w:kern w:val="0"/>
                <w:sz w:val="24"/>
                <w:szCs w:val="24"/>
              </w:rPr>
              <w:t>激活通道数：</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4</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远程控制功能：有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形状传感功能：有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测试时间：3s~24s</w:t>
            </w:r>
          </w:p>
        </w:tc>
        <w:tc>
          <w:tcPr>
            <w:tcW w:w="352" w:type="pct"/>
            <w:noWrap w:val="0"/>
            <w:vAlign w:val="center"/>
          </w:tcPr>
          <w:p w14:paraId="00D58873">
            <w:pPr>
              <w:spacing w:line="360" w:lineRule="auto"/>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w:t>
            </w:r>
          </w:p>
        </w:tc>
        <w:tc>
          <w:tcPr>
            <w:tcW w:w="465" w:type="pct"/>
            <w:noWrap w:val="0"/>
            <w:vAlign w:val="center"/>
          </w:tcPr>
          <w:p w14:paraId="11563445">
            <w:pPr>
              <w:spacing w:line="360" w:lineRule="auto"/>
              <w:jc w:val="center"/>
              <w:rPr>
                <w:rFonts w:hint="default" w:ascii="仿宋" w:hAnsi="仿宋" w:eastAsia="仿宋"/>
                <w:iCs/>
                <w:sz w:val="24"/>
                <w:szCs w:val="24"/>
                <w:lang w:val="en-US" w:eastAsia="zh-CN"/>
              </w:rPr>
            </w:pPr>
            <w:r>
              <w:rPr>
                <w:rFonts w:hint="eastAsia" w:ascii="宋体" w:hAnsi="宋体" w:eastAsia="宋体" w:cs="宋体"/>
                <w:iCs/>
                <w:sz w:val="24"/>
                <w:szCs w:val="24"/>
                <w:lang w:val="en-US" w:eastAsia="zh-CN"/>
              </w:rPr>
              <w:t>24</w:t>
            </w:r>
          </w:p>
        </w:tc>
        <w:tc>
          <w:tcPr>
            <w:tcW w:w="465" w:type="pct"/>
            <w:vMerge w:val="continue"/>
            <w:noWrap w:val="0"/>
            <w:vAlign w:val="center"/>
          </w:tcPr>
          <w:p w14:paraId="62552D5C">
            <w:pPr>
              <w:spacing w:line="360" w:lineRule="auto"/>
              <w:jc w:val="center"/>
              <w:rPr>
                <w:rFonts w:hint="eastAsia" w:ascii="仿宋" w:hAnsi="仿宋" w:eastAsia="仿宋"/>
                <w:iCs/>
                <w:sz w:val="24"/>
                <w:szCs w:val="24"/>
              </w:rPr>
            </w:pPr>
          </w:p>
        </w:tc>
        <w:tc>
          <w:tcPr>
            <w:tcW w:w="539" w:type="pct"/>
            <w:noWrap w:val="0"/>
            <w:vAlign w:val="center"/>
          </w:tcPr>
          <w:p w14:paraId="0504BEE9">
            <w:pPr>
              <w:spacing w:line="360" w:lineRule="auto"/>
              <w:jc w:val="center"/>
              <w:rPr>
                <w:rFonts w:hint="eastAsia" w:ascii="宋体" w:hAnsi="宋体" w:cs="宋体"/>
                <w:bCs/>
                <w:sz w:val="24"/>
                <w:highlight w:val="none"/>
                <w:lang w:val="en-US" w:eastAsia="zh-CN"/>
              </w:rPr>
            </w:pPr>
            <w:r>
              <w:rPr>
                <w:rFonts w:hint="eastAsia" w:ascii="宋体" w:hAnsi="宋体" w:cs="宋体"/>
                <w:bCs/>
                <w:sz w:val="24"/>
                <w:highlight w:val="none"/>
                <w:lang w:val="en-US" w:eastAsia="zh-CN"/>
              </w:rPr>
              <w:t>国产</w:t>
            </w:r>
          </w:p>
        </w:tc>
      </w:tr>
      <w:tr w14:paraId="0A81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44" w:type="pct"/>
            <w:noWrap w:val="0"/>
            <w:vAlign w:val="center"/>
          </w:tcPr>
          <w:p w14:paraId="79FB8959">
            <w:pPr>
              <w:spacing w:line="400" w:lineRule="exact"/>
              <w:jc w:val="center"/>
              <w:rPr>
                <w:rFonts w:hint="eastAsia" w:ascii="宋体" w:hAnsi="宋体" w:eastAsia="宋体" w:cs="宋体"/>
                <w:b/>
                <w:bCs/>
                <w:kern w:val="0"/>
                <w:sz w:val="24"/>
                <w:highlight w:val="none"/>
                <w:lang w:val="en-US" w:eastAsia="zh-CN"/>
              </w:rPr>
            </w:pPr>
            <w:r>
              <w:rPr>
                <w:rFonts w:hint="eastAsia" w:ascii="宋体" w:hAnsi="宋体" w:cs="宋体"/>
                <w:b/>
                <w:bCs/>
                <w:kern w:val="0"/>
                <w:sz w:val="24"/>
                <w:highlight w:val="none"/>
                <w:lang w:val="en-US" w:eastAsia="zh-CN"/>
              </w:rPr>
              <w:t>3</w:t>
            </w:r>
          </w:p>
        </w:tc>
        <w:tc>
          <w:tcPr>
            <w:tcW w:w="578" w:type="pct"/>
            <w:noWrap w:val="0"/>
            <w:vAlign w:val="center"/>
          </w:tcPr>
          <w:p w14:paraId="3F130A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sz w:val="24"/>
              </w:rPr>
              <w:t>▲</w:t>
            </w:r>
            <w:r>
              <w:rPr>
                <w:rFonts w:hint="eastAsia" w:ascii="宋体" w:hAnsi="宋体" w:eastAsia="宋体" w:cs="宋体"/>
                <w:kern w:val="0"/>
                <w:sz w:val="24"/>
                <w:szCs w:val="24"/>
              </w:rPr>
              <w:t>宽带线性扫频光源</w:t>
            </w:r>
          </w:p>
        </w:tc>
        <w:tc>
          <w:tcPr>
            <w:tcW w:w="2355" w:type="pct"/>
            <w:noWrap w:val="0"/>
            <w:vAlign w:val="center"/>
          </w:tcPr>
          <w:p w14:paraId="6D7124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波段扫描范围：1535nm~1576 nm</w:t>
            </w:r>
          </w:p>
          <w:p w14:paraId="179231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cs="宋体"/>
                <w:sz w:val="24"/>
                <w:highlight w:val="none"/>
              </w:rPr>
              <w:t>★</w:t>
            </w:r>
            <w:r>
              <w:rPr>
                <w:rFonts w:hint="eastAsia" w:ascii="宋体" w:hAnsi="宋体" w:eastAsia="宋体" w:cs="宋体"/>
                <w:kern w:val="0"/>
                <w:sz w:val="24"/>
                <w:szCs w:val="24"/>
              </w:rPr>
              <w:t>波长分辨率：1pm</w:t>
            </w:r>
          </w:p>
          <w:p w14:paraId="2D29BC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输出光功率：1mW</w:t>
            </w:r>
          </w:p>
          <w:p w14:paraId="1DA70A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光纤接口：FC/APC</w:t>
            </w:r>
          </w:p>
          <w:p w14:paraId="2FFA50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工作温度：10~40 ℃</w:t>
            </w:r>
          </w:p>
          <w:p w14:paraId="38CA0E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储存温度：0~50 ℃</w:t>
            </w:r>
          </w:p>
        </w:tc>
        <w:tc>
          <w:tcPr>
            <w:tcW w:w="352" w:type="pct"/>
            <w:noWrap w:val="0"/>
            <w:vAlign w:val="center"/>
          </w:tcPr>
          <w:p w14:paraId="4C5222A0">
            <w:pPr>
              <w:spacing w:line="360" w:lineRule="auto"/>
              <w:jc w:val="center"/>
              <w:rPr>
                <w:rFonts w:hint="eastAsia" w:ascii="宋体" w:hAnsi="宋体" w:eastAsia="宋体" w:cs="宋体"/>
                <w:bCs/>
                <w:sz w:val="24"/>
                <w:highlight w:val="none"/>
                <w:lang w:val="en-US" w:eastAsia="zh-CN"/>
              </w:rPr>
            </w:pPr>
          </w:p>
        </w:tc>
        <w:tc>
          <w:tcPr>
            <w:tcW w:w="465" w:type="pct"/>
            <w:noWrap w:val="0"/>
            <w:vAlign w:val="center"/>
          </w:tcPr>
          <w:p w14:paraId="6DEB79D9">
            <w:pPr>
              <w:spacing w:line="360" w:lineRule="auto"/>
              <w:jc w:val="center"/>
              <w:rPr>
                <w:rFonts w:hint="default" w:ascii="仿宋" w:hAnsi="仿宋" w:eastAsia="仿宋"/>
                <w:iCs/>
                <w:sz w:val="24"/>
                <w:szCs w:val="24"/>
                <w:lang w:val="en-US" w:eastAsia="zh-CN"/>
              </w:rPr>
            </w:pPr>
            <w:r>
              <w:rPr>
                <w:rFonts w:hint="eastAsia" w:ascii="宋体" w:hAnsi="宋体" w:eastAsia="宋体" w:cs="宋体"/>
                <w:iCs/>
                <w:sz w:val="24"/>
                <w:szCs w:val="24"/>
                <w:lang w:val="en-US" w:eastAsia="zh-CN"/>
              </w:rPr>
              <w:t>32</w:t>
            </w:r>
          </w:p>
        </w:tc>
        <w:tc>
          <w:tcPr>
            <w:tcW w:w="465" w:type="pct"/>
            <w:vMerge w:val="continue"/>
            <w:noWrap w:val="0"/>
            <w:vAlign w:val="center"/>
          </w:tcPr>
          <w:p w14:paraId="6F0900DB">
            <w:pPr>
              <w:spacing w:line="360" w:lineRule="auto"/>
              <w:jc w:val="center"/>
              <w:rPr>
                <w:rFonts w:hint="eastAsia" w:ascii="仿宋" w:hAnsi="仿宋" w:eastAsia="仿宋"/>
                <w:iCs/>
                <w:sz w:val="24"/>
                <w:szCs w:val="24"/>
              </w:rPr>
            </w:pPr>
          </w:p>
        </w:tc>
        <w:tc>
          <w:tcPr>
            <w:tcW w:w="539" w:type="pct"/>
            <w:noWrap w:val="0"/>
            <w:vAlign w:val="center"/>
          </w:tcPr>
          <w:p w14:paraId="1C93BD70">
            <w:pPr>
              <w:spacing w:line="360" w:lineRule="auto"/>
              <w:jc w:val="center"/>
              <w:rPr>
                <w:rFonts w:hint="eastAsia" w:ascii="宋体" w:hAnsi="宋体" w:cs="宋体"/>
                <w:bCs/>
                <w:sz w:val="24"/>
                <w:highlight w:val="none"/>
                <w:lang w:val="en-US" w:eastAsia="zh-CN"/>
              </w:rPr>
            </w:pPr>
            <w:r>
              <w:rPr>
                <w:rFonts w:hint="eastAsia" w:ascii="宋体" w:hAnsi="宋体" w:cs="宋体"/>
                <w:bCs/>
                <w:sz w:val="24"/>
                <w:highlight w:val="none"/>
                <w:lang w:val="en-US" w:eastAsia="zh-CN"/>
              </w:rPr>
              <w:t>国产</w:t>
            </w:r>
          </w:p>
        </w:tc>
      </w:tr>
    </w:tbl>
    <w:p w14:paraId="0904F0B7">
      <w:pPr>
        <w:rPr>
          <w:rFonts w:hint="eastAsia" w:ascii="宋体" w:hAnsi="宋体" w:cs="宋体"/>
          <w:b/>
          <w:sz w:val="24"/>
          <w:highlight w:val="none"/>
        </w:rPr>
      </w:pPr>
    </w:p>
    <w:p w14:paraId="5045D7F9">
      <w:pPr>
        <w:numPr>
          <w:ilvl w:val="0"/>
          <w:numId w:val="0"/>
        </w:numPr>
        <w:spacing w:before="78" w:beforeLines="25" w:after="78" w:afterLines="25" w:line="440" w:lineRule="exact"/>
        <w:rPr>
          <w:rFonts w:hint="eastAsia" w:ascii="宋体" w:hAnsi="宋体" w:cs="宋体"/>
          <w:b/>
          <w:sz w:val="24"/>
          <w:highlight w:val="none"/>
          <w:lang w:val="en-US" w:eastAsia="zh-CN"/>
        </w:rPr>
      </w:pPr>
      <w:r>
        <w:rPr>
          <w:rFonts w:hint="eastAsia" w:ascii="宋体" w:hAnsi="宋体" w:cs="宋体"/>
          <w:b/>
          <w:kern w:val="2"/>
          <w:sz w:val="24"/>
          <w:szCs w:val="24"/>
          <w:highlight w:val="none"/>
          <w:lang w:val="en-US" w:eastAsia="zh-CN" w:bidi="ar-SA"/>
        </w:rPr>
        <w:t>13、</w:t>
      </w:r>
      <w:r>
        <w:rPr>
          <w:rFonts w:hint="eastAsia" w:ascii="宋体" w:hAnsi="宋体" w:cs="宋体"/>
          <w:b/>
          <w:sz w:val="24"/>
          <w:highlight w:val="none"/>
          <w:lang w:val="en-US" w:eastAsia="zh-CN"/>
        </w:rPr>
        <w:t>报价要求：</w:t>
      </w:r>
    </w:p>
    <w:p w14:paraId="78037BC1">
      <w:pPr>
        <w:pStyle w:val="12"/>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b w:val="0"/>
          <w:bCs w:val="0"/>
          <w:sz w:val="24"/>
          <w:highlight w:val="none"/>
          <w:lang w:val="en-US" w:eastAsia="zh-CN"/>
        </w:rPr>
        <w:t>本项目最高限价</w:t>
      </w:r>
      <w:r>
        <w:rPr>
          <w:rFonts w:hint="eastAsia" w:ascii="宋体" w:hAnsi="宋体" w:eastAsia="宋体" w:cs="宋体"/>
          <w:b w:val="0"/>
          <w:bCs w:val="0"/>
          <w:sz w:val="24"/>
          <w:highlight w:val="none"/>
        </w:rPr>
        <w:t>人民币</w:t>
      </w:r>
      <w:r>
        <w:rPr>
          <w:rFonts w:hint="eastAsia" w:ascii="宋体" w:hAnsi="宋体" w:eastAsia="宋体" w:cs="宋体"/>
          <w:b w:val="0"/>
          <w:bCs w:val="0"/>
          <w:sz w:val="24"/>
          <w:highlight w:val="none"/>
          <w:lang w:eastAsia="zh-CN"/>
        </w:rPr>
        <w:t>89万元</w:t>
      </w:r>
      <w:r>
        <w:rPr>
          <w:rFonts w:hint="eastAsia" w:ascii="宋体" w:hAnsi="宋体" w:eastAsia="宋体" w:cs="宋体"/>
          <w:b w:val="0"/>
          <w:bCs w:val="0"/>
          <w:sz w:val="24"/>
          <w:highlight w:val="none"/>
        </w:rPr>
        <w:t>。供应商响应报价不得超过本项目的最高限价</w:t>
      </w:r>
      <w:r>
        <w:rPr>
          <w:rFonts w:hint="eastAsia" w:ascii="宋体" w:hAnsi="宋体" w:eastAsia="宋体" w:cs="宋体"/>
          <w:b w:val="0"/>
          <w:bCs w:val="0"/>
          <w:sz w:val="24"/>
          <w:highlight w:val="none"/>
          <w:lang w:val="en-US" w:eastAsia="zh-CN"/>
        </w:rPr>
        <w:t>，</w:t>
      </w:r>
      <w:r>
        <w:rPr>
          <w:rFonts w:hint="eastAsia" w:ascii="宋体" w:hAnsi="宋体" w:eastAsia="宋体" w:cs="宋体"/>
          <w:b w:val="0"/>
          <w:bCs w:val="0"/>
          <w:sz w:val="24"/>
          <w:highlight w:val="none"/>
        </w:rPr>
        <w:t>否则按无效响应文件处理。</w:t>
      </w:r>
    </w:p>
    <w:p w14:paraId="4637322D">
      <w:pPr>
        <w:spacing w:before="78" w:beforeLines="25" w:after="78" w:afterLines="25" w:line="440" w:lineRule="exact"/>
        <w:rPr>
          <w:rFonts w:hint="eastAsia" w:ascii="宋体" w:hAnsi="宋体" w:eastAsia="宋体" w:cs="宋体"/>
          <w:b w:val="0"/>
          <w:color w:val="0000FF"/>
          <w:sz w:val="24"/>
          <w:highlight w:val="none"/>
        </w:rPr>
      </w:pPr>
      <w:r>
        <w:rPr>
          <w:rFonts w:hint="eastAsia" w:ascii="宋体" w:hAnsi="宋体" w:eastAsia="宋体" w:cs="宋体"/>
          <w:b/>
          <w:bCs/>
          <w:sz w:val="24"/>
          <w:highlight w:val="none"/>
          <w:lang w:val="en-US" w:eastAsia="zh-CN"/>
        </w:rPr>
        <w:t>14、</w:t>
      </w:r>
      <w:r>
        <w:rPr>
          <w:rFonts w:hint="eastAsia" w:ascii="宋体" w:hAnsi="宋体" w:eastAsia="宋体" w:cs="宋体"/>
          <w:b/>
          <w:bCs/>
          <w:sz w:val="24"/>
          <w:highlight w:val="none"/>
        </w:rPr>
        <w:t xml:space="preserve">其它要求  </w:t>
      </w:r>
      <w:r>
        <w:rPr>
          <w:rFonts w:hint="eastAsia" w:ascii="宋体" w:hAnsi="宋体" w:eastAsia="宋体" w:cs="宋体"/>
          <w:sz w:val="24"/>
          <w:highlight w:val="none"/>
        </w:rPr>
        <w:t xml:space="preserve">  </w:t>
      </w:r>
      <w:r>
        <w:rPr>
          <w:rFonts w:hint="eastAsia" w:ascii="宋体" w:hAnsi="宋体" w:eastAsia="宋体" w:cs="宋体"/>
          <w:color w:val="0000FF"/>
          <w:sz w:val="24"/>
          <w:highlight w:val="none"/>
        </w:rPr>
        <w:t xml:space="preserve"> </w:t>
      </w:r>
    </w:p>
    <w:p w14:paraId="59545619">
      <w:pPr>
        <w:spacing w:before="78" w:beforeLines="25" w:after="78" w:afterLines="25" w:line="440" w:lineRule="exact"/>
        <w:rPr>
          <w:rFonts w:hint="eastAsia" w:ascii="宋体" w:hAnsi="宋体" w:cs="宋体"/>
          <w:b/>
          <w:sz w:val="24"/>
          <w:highlight w:val="none"/>
        </w:rPr>
      </w:pPr>
      <w:r>
        <w:rPr>
          <w:rFonts w:hint="eastAsia" w:ascii="宋体" w:hAnsi="宋体" w:cs="宋体"/>
          <w:b/>
          <w:sz w:val="24"/>
          <w:highlight w:val="none"/>
          <w:lang w:val="en-US" w:eastAsia="zh-CN"/>
        </w:rPr>
        <w:t>14.1</w:t>
      </w:r>
      <w:r>
        <w:rPr>
          <w:rFonts w:hint="eastAsia" w:ascii="宋体" w:hAnsi="宋体" w:cs="宋体"/>
          <w:b/>
          <w:sz w:val="24"/>
          <w:highlight w:val="none"/>
        </w:rPr>
        <w:t>包装和运输要求：</w:t>
      </w:r>
    </w:p>
    <w:p w14:paraId="2BAED26A">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包装：货物交货时应按国家有关标准要求进行包装。</w:t>
      </w:r>
    </w:p>
    <w:p w14:paraId="79C76682">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方式：包装必须与运输方式相适应，包装方式的确定及包装费用均由中标供应商负责；由于不适当的包装而造成货物在运输过程中有任何损坏由中标供应商负责。包装应足以承受整个过程中的运输、转运、装卸、储存等，充分考虑到运输途中的各种情况(如暴露于恶劣气候等)和项目所在地的气候特点，以及露天存放的需要。</w:t>
      </w:r>
    </w:p>
    <w:p w14:paraId="6FBA5A17">
      <w:pPr>
        <w:spacing w:before="78" w:beforeLines="25" w:after="78" w:afterLines="25" w:line="440" w:lineRule="exact"/>
        <w:rPr>
          <w:rFonts w:hint="eastAsia" w:ascii="宋体" w:hAnsi="宋体" w:cs="宋体"/>
          <w:b/>
          <w:sz w:val="24"/>
          <w:highlight w:val="none"/>
        </w:rPr>
      </w:pPr>
      <w:r>
        <w:rPr>
          <w:rFonts w:hint="eastAsia" w:ascii="宋体" w:hAnsi="宋体" w:cs="宋体"/>
          <w:b/>
          <w:sz w:val="24"/>
          <w:highlight w:val="none"/>
          <w:lang w:val="en-US" w:eastAsia="zh-CN"/>
        </w:rPr>
        <w:t>14.</w:t>
      </w:r>
      <w:r>
        <w:rPr>
          <w:rFonts w:hint="eastAsia" w:ascii="宋体" w:hAnsi="宋体" w:cs="宋体"/>
          <w:b/>
          <w:sz w:val="24"/>
          <w:highlight w:val="none"/>
        </w:rPr>
        <w:t>2履约验收标准：</w:t>
      </w:r>
    </w:p>
    <w:p w14:paraId="0966D67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（1）所供产品规格、数量符合招标文件和供应商投标承诺及采购合同约定的要求。 </w:t>
      </w:r>
    </w:p>
    <w:p w14:paraId="5469922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（2）所供产品材质、颜色符合招标文件和供应商投标承诺及采购合同约定的要求。 </w:t>
      </w:r>
    </w:p>
    <w:p w14:paraId="369613E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（3）所供产品外观完好，无严重碰撞、表皮脱落、五金件生锈等明显瑕疵。 </w:t>
      </w:r>
    </w:p>
    <w:p w14:paraId="5D0648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（4）所供产品结构牢固，无安全隐患。 </w:t>
      </w:r>
    </w:p>
    <w:p w14:paraId="0CDB74A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（5）如有抽检要求的，检测结果符合招标文件和供应商投标承诺及采购合同约定的要求。 </w:t>
      </w:r>
    </w:p>
    <w:p w14:paraId="2575FFD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（6）所有产品均已运输至指定地点，并安装调试完毕。 </w:t>
      </w:r>
    </w:p>
    <w:p w14:paraId="2E9BA4D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（7）招标文件供应商投标承诺及采购合同约定的附件、工具、技术资料等齐全；提供产品使用说明书、合格证。</w:t>
      </w:r>
    </w:p>
    <w:p w14:paraId="430F4269">
      <w:pPr>
        <w:spacing w:before="78" w:beforeLines="25" w:after="78" w:afterLines="25" w:line="440" w:lineRule="exact"/>
        <w:rPr>
          <w:rFonts w:hint="eastAsia" w:ascii="宋体" w:hAnsi="宋体" w:cs="宋体"/>
          <w:b/>
          <w:sz w:val="24"/>
          <w:highlight w:val="none"/>
        </w:rPr>
      </w:pPr>
      <w:r>
        <w:rPr>
          <w:rFonts w:hint="eastAsia" w:ascii="宋体" w:hAnsi="宋体" w:cs="宋体"/>
          <w:b/>
          <w:sz w:val="24"/>
          <w:highlight w:val="none"/>
          <w:lang w:val="en-US" w:eastAsia="zh-CN"/>
        </w:rPr>
        <w:t>14.</w:t>
      </w:r>
      <w:r>
        <w:rPr>
          <w:rFonts w:hint="eastAsia" w:ascii="宋体" w:hAnsi="宋体" w:cs="宋体"/>
          <w:b/>
          <w:sz w:val="24"/>
          <w:highlight w:val="none"/>
        </w:rPr>
        <w:t>3安装调试及售后服务要求</w:t>
      </w:r>
    </w:p>
    <w:p w14:paraId="57930F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本项目免费质量保证期要求不低于</w:t>
      </w:r>
      <w:r>
        <w:rPr>
          <w:rFonts w:hint="eastAsia" w:ascii="宋体" w:hAnsi="宋体" w:eastAsia="宋体" w:cs="宋体"/>
          <w:sz w:val="24"/>
          <w:szCs w:val="24"/>
          <w:u w:val="single"/>
        </w:rPr>
        <w:t xml:space="preserve">   3  </w:t>
      </w:r>
      <w:r>
        <w:rPr>
          <w:rFonts w:hint="eastAsia" w:ascii="宋体" w:hAnsi="宋体" w:eastAsia="宋体" w:cs="宋体"/>
          <w:sz w:val="24"/>
          <w:szCs w:val="24"/>
        </w:rPr>
        <w:t>年。免费质量保证期从货物供货、安装、调试正常且经采购人综合运行验收合格后开始计算。</w:t>
      </w:r>
    </w:p>
    <w:p w14:paraId="54D2DE7F">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宋体"/>
          <w:sz w:val="24"/>
          <w:szCs w:val="24"/>
        </w:rPr>
        <w:t>供应商应在接到报修通知后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小时内响应，</w:t>
      </w:r>
      <w:r>
        <w:rPr>
          <w:rFonts w:hint="eastAsia" w:ascii="宋体" w:hAnsi="宋体" w:eastAsia="宋体" w:cs="宋体"/>
          <w:sz w:val="24"/>
          <w:szCs w:val="24"/>
          <w:u w:val="single"/>
        </w:rPr>
        <w:t xml:space="preserve"> 48  </w:t>
      </w:r>
      <w:r>
        <w:rPr>
          <w:rFonts w:hint="eastAsia" w:ascii="宋体" w:hAnsi="宋体" w:eastAsia="宋体" w:cs="宋体"/>
          <w:sz w:val="24"/>
          <w:szCs w:val="24"/>
        </w:rPr>
        <w:t>小时内派技术人员到达现场，</w:t>
      </w:r>
      <w:r>
        <w:rPr>
          <w:rFonts w:hint="eastAsia" w:ascii="宋体" w:hAnsi="宋体" w:eastAsia="宋体" w:cs="宋体"/>
          <w:sz w:val="24"/>
          <w:szCs w:val="24"/>
          <w:u w:val="single"/>
        </w:rPr>
        <w:t>72</w:t>
      </w:r>
      <w:r>
        <w:rPr>
          <w:rFonts w:hint="eastAsia" w:ascii="宋体" w:hAnsi="宋体" w:eastAsia="宋体" w:cs="宋体"/>
          <w:sz w:val="24"/>
          <w:szCs w:val="24"/>
        </w:rPr>
        <w:t>小时之内排除故障；需要更换设备或配件的应在</w:t>
      </w:r>
      <w:r>
        <w:rPr>
          <w:rFonts w:hint="eastAsia" w:ascii="宋体" w:hAnsi="宋体" w:eastAsia="宋体" w:cs="宋体"/>
          <w:sz w:val="24"/>
          <w:szCs w:val="24"/>
          <w:u w:val="single"/>
        </w:rPr>
        <w:t xml:space="preserve"> 3 </w:t>
      </w:r>
      <w:r>
        <w:rPr>
          <w:rFonts w:hint="eastAsia" w:ascii="宋体" w:hAnsi="宋体" w:eastAsia="宋体" w:cs="宋体"/>
          <w:sz w:val="24"/>
          <w:szCs w:val="24"/>
        </w:rPr>
        <w:t>日内修复（从甲方提出现场服务要求之日开始算起），</w:t>
      </w:r>
      <w:r>
        <w:rPr>
          <w:rFonts w:hint="eastAsia" w:ascii="宋体" w:hAnsi="宋体" w:eastAsia="宋体" w:cs="宋体"/>
          <w:sz w:val="24"/>
          <w:szCs w:val="24"/>
          <w:u w:val="single"/>
        </w:rPr>
        <w:t xml:space="preserve">  7 </w:t>
      </w:r>
      <w:r>
        <w:rPr>
          <w:rFonts w:hint="eastAsia" w:ascii="宋体" w:hAnsi="宋体" w:eastAsia="宋体" w:cs="宋体"/>
          <w:sz w:val="24"/>
          <w:szCs w:val="24"/>
        </w:rPr>
        <w:t>日内不能修复的须及时免费提供备用设备。保修期内的零部件、配件和人工等均为免费</w:t>
      </w:r>
      <w:r>
        <w:rPr>
          <w:rFonts w:hint="eastAsia" w:ascii="宋体" w:hAnsi="宋体" w:eastAsia="宋体" w:cs="宋体"/>
          <w:sz w:val="24"/>
          <w:szCs w:val="24"/>
          <w:lang w:eastAsia="zh-CN"/>
        </w:rPr>
        <w:t>。</w:t>
      </w:r>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8071C"/>
    <w:multiLevelType w:val="singleLevel"/>
    <w:tmpl w:val="59E807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mZlNDdlMDMyMGIyYjkwZGM2YWY1OTY0ZjIxZDMifQ=="/>
  </w:docVars>
  <w:rsids>
    <w:rsidRoot w:val="00000000"/>
    <w:rsid w:val="23D1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rFonts w:ascii="Times New Roman" w:hAnsi="Times New Roman" w:eastAsia="宋体"/>
      <w:b/>
      <w:sz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cs="Times New Roma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99"/>
    <w:pPr>
      <w:snapToGrid w:val="0"/>
    </w:pPr>
    <w:rPr>
      <w:rFonts w:ascii="Arial" w:hAnsi="Arial" w:cs="Arial"/>
    </w:rPr>
  </w:style>
  <w:style w:type="paragraph" w:styleId="6">
    <w:name w:val="table of authorities"/>
    <w:basedOn w:val="1"/>
    <w:next w:val="1"/>
    <w:qFormat/>
    <w:uiPriority w:val="0"/>
    <w:pPr>
      <w:ind w:left="420" w:leftChars="200"/>
    </w:pPr>
  </w:style>
  <w:style w:type="paragraph" w:styleId="7">
    <w:name w:val="Document Map"/>
    <w:basedOn w:val="1"/>
    <w:next w:val="1"/>
    <w:semiHidden/>
    <w:qFormat/>
    <w:uiPriority w:val="0"/>
    <w:pPr>
      <w:shd w:val="clear" w:color="auto" w:fill="000080"/>
    </w:pPr>
  </w:style>
  <w:style w:type="paragraph" w:styleId="8">
    <w:name w:val="Body Text"/>
    <w:basedOn w:val="1"/>
    <w:next w:val="9"/>
    <w:qFormat/>
    <w:uiPriority w:val="0"/>
    <w:pPr>
      <w:spacing w:after="120"/>
    </w:p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正文 New"/>
    <w:next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缩进1"/>
    <w:basedOn w:val="1"/>
    <w:next w:val="7"/>
    <w:qFormat/>
    <w:uiPriority w:val="0"/>
    <w:pPr>
      <w:widowControl w:val="0"/>
      <w:autoSpaceDE/>
      <w:autoSpaceDN/>
      <w:spacing w:before="0" w:after="0" w:line="360" w:lineRule="atLeast"/>
      <w:ind w:left="0" w:firstLine="482"/>
      <w:jc w:val="both"/>
    </w:pPr>
    <w:rPr>
      <w:rFonts w:ascii="Times New Roman"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2024-09-29T04:16:45Z</dcterms:created>
  <dc:creator>admin</dc:creator>
  <cp:lastModifiedBy>王婧</cp:lastModifiedBy>
  <dcterms:modified xsi:type="dcterms:W3CDTF">2024-09-29T04:17:25Z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11E9042A6BC04504B50BA90BB10B3912_12</vt:lpwstr>
  </property>
</Properties>
</file>