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A608"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产融中心项目智能电表采购及安装服务</w:t>
      </w:r>
    </w:p>
    <w:p w14:paraId="03044AA4">
      <w:pPr>
        <w:spacing w:line="4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采购公告</w:t>
      </w:r>
    </w:p>
    <w:p w14:paraId="56B01EDD">
      <w:pPr>
        <w:widowControl/>
        <w:autoSpaceDE w:val="0"/>
        <w:spacing w:before="100" w:beforeAutospacing="1" w:after="100" w:afterAutospacing="1" w:line="360" w:lineRule="auto"/>
        <w:ind w:left="239" w:leftChars="114" w:firstLine="554" w:firstLineChars="231"/>
        <w:jc w:val="left"/>
        <w:rPr>
          <w:rFonts w:ascii="Times New Roman" w:hAnsi="Times New Roman"/>
          <w:sz w:val="24"/>
          <w:szCs w:val="24"/>
          <w:lang w:bidi="ar"/>
        </w:rPr>
      </w:pPr>
      <w:r>
        <w:rPr>
          <w:rFonts w:hint="eastAsia" w:ascii="Times New Roman" w:hAnsi="Times New Roman"/>
          <w:sz w:val="24"/>
          <w:szCs w:val="24"/>
          <w:lang w:bidi="ar"/>
        </w:rPr>
        <w:t>安徽中技工程咨询有限公司</w:t>
      </w:r>
      <w:r>
        <w:rPr>
          <w:rFonts w:ascii="Times New Roman" w:hAnsi="Times New Roman"/>
          <w:sz w:val="24"/>
          <w:szCs w:val="24"/>
          <w:lang w:bidi="ar"/>
        </w:rPr>
        <w:t>受</w:t>
      </w:r>
      <w:r>
        <w:rPr>
          <w:rFonts w:hint="eastAsia" w:ascii="Times New Roman" w:hAnsi="Times New Roman"/>
          <w:sz w:val="24"/>
          <w:szCs w:val="24"/>
          <w:lang w:bidi="ar"/>
        </w:rPr>
        <w:t>安徽皖投产城服务运营有限公司</w:t>
      </w:r>
      <w:r>
        <w:rPr>
          <w:rFonts w:ascii="Times New Roman" w:hAnsi="Times New Roman"/>
          <w:sz w:val="24"/>
          <w:szCs w:val="24"/>
          <w:lang w:bidi="ar"/>
        </w:rPr>
        <w:t>的委托，现对</w:t>
      </w:r>
      <w:r>
        <w:rPr>
          <w:rFonts w:hint="eastAsia" w:ascii="Times New Roman" w:hAnsi="Times New Roman"/>
          <w:sz w:val="24"/>
          <w:szCs w:val="24"/>
          <w:lang w:bidi="ar"/>
        </w:rPr>
        <w:t>产融中心项目智能电表采购及安装服务</w:t>
      </w:r>
      <w:r>
        <w:rPr>
          <w:rFonts w:ascii="Times New Roman" w:hAnsi="Times New Roman"/>
          <w:sz w:val="24"/>
          <w:szCs w:val="24"/>
          <w:lang w:bidi="ar"/>
        </w:rPr>
        <w:t>进行国内公开采购，</w:t>
      </w:r>
      <w:r>
        <w:rPr>
          <w:rFonts w:ascii="Times New Roman" w:hAnsi="Times New Roman"/>
          <w:sz w:val="24"/>
          <w:szCs w:val="24"/>
        </w:rPr>
        <w:t>欢迎符合条件的供应商参加询比采购活动。</w:t>
      </w:r>
    </w:p>
    <w:p w14:paraId="3D9CE1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一、项目概况</w:t>
      </w:r>
    </w:p>
    <w:p w14:paraId="467DF4BD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项目名称：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产融中心项目智能电表采购及安装服务</w:t>
      </w:r>
    </w:p>
    <w:p w14:paraId="6922D598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项目编号：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JFTP-202518000190</w:t>
      </w:r>
    </w:p>
    <w:p w14:paraId="78690760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项目地点：合肥市蜀山区宿松路皖投万科产融中心</w:t>
      </w:r>
    </w:p>
    <w:p w14:paraId="704CE1F0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采购方式：询比采购</w:t>
      </w:r>
    </w:p>
    <w:p w14:paraId="50849BF6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项目资金落实情况：自筹资金，已落实</w:t>
      </w:r>
    </w:p>
    <w:p w14:paraId="0A601C3D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项目预算：人民币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28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万元</w:t>
      </w:r>
    </w:p>
    <w:p w14:paraId="24280AE8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工期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：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60日历天</w:t>
      </w:r>
    </w:p>
    <w:p w14:paraId="2F372958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质保期：免费质保期两年</w:t>
      </w:r>
    </w:p>
    <w:p w14:paraId="7239DE3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二、采购范围</w:t>
      </w:r>
    </w:p>
    <w:p w14:paraId="31100974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对产融中心整租楼层、独栋办公楼及公寓电表进行改造，将原有149块传统电表更换为智能电表，采购内容包括原149块电表拆除、智能电表采购及安装调试、智能电表系统数据上传对接信息化平台等，质保期两年。功能包含：远程自动抄表、电表分时计量、在线监测、数据共享、自动断电及供电、在线支付等功能。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具体详见采购文件。</w:t>
      </w:r>
    </w:p>
    <w:p w14:paraId="4F4776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三、资格要求</w:t>
      </w:r>
    </w:p>
    <w:p w14:paraId="039F40B5"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（一）供应商资格要求：</w:t>
      </w:r>
    </w:p>
    <w:p w14:paraId="0F820C0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1.供应商具有有效的营业执照；</w:t>
      </w:r>
    </w:p>
    <w:p w14:paraId="0B149C8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2.供应商近三年（2022年1月1日至今，以合同签订日期为准）具有1个单项合同金额不低于15万元的智能电表供货及安装业绩；</w:t>
      </w:r>
    </w:p>
    <w:p w14:paraId="30C57FB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（二）本次采购不接受联合体。</w:t>
      </w:r>
    </w:p>
    <w:p w14:paraId="23C0A04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Toc18542"/>
      <w:r>
        <w:rPr>
          <w:rFonts w:ascii="Times New Roman" w:hAnsi="Times New Roman"/>
          <w:b/>
          <w:sz w:val="24"/>
          <w:szCs w:val="24"/>
        </w:rPr>
        <w:t>四、</w:t>
      </w:r>
      <w:r>
        <w:rPr>
          <w:rFonts w:ascii="Times New Roman" w:hAnsi="Times New Roman"/>
          <w:b/>
          <w:bCs/>
          <w:sz w:val="24"/>
          <w:szCs w:val="24"/>
        </w:rPr>
        <w:t>采购文件的获取</w:t>
      </w:r>
    </w:p>
    <w:p w14:paraId="2FD1FB72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获取时间：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2025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年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4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月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25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日9:00至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2025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年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5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月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9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日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9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: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3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 xml:space="preserve">0（北京时间）  </w:t>
      </w:r>
    </w:p>
    <w:p w14:paraId="25A7FF9C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获取方式：在线发售采购文件，有意参加的潜在供应商首先须在“徽智采”平台（网址：http://www.ahhzc.cn）及手机“中招互连”APP中完成注册，之后在PC端安装“投标客户端”，通过APP扫描在“投标客户端”登录，可直接在“徽智采”平台中下载采购文件及其他资料（如澄清文件等），采购人不另行发布上述内容的书面资料。</w:t>
      </w:r>
    </w:p>
    <w:p w14:paraId="3905CA2E">
      <w:pPr>
        <w:spacing w:line="360" w:lineRule="auto"/>
        <w:ind w:firstLine="437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采购文件每套售价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  <w:u w:val="single"/>
        </w:rPr>
        <w:t>0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元，售后不退。</w:t>
      </w:r>
    </w:p>
    <w:p w14:paraId="2E2A1DA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五、响应文件的递交</w:t>
      </w:r>
    </w:p>
    <w:p w14:paraId="20BF77F1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响应文件递交的截止时间：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2025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年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5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月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9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日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9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: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3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0（北京时间）</w:t>
      </w:r>
    </w:p>
    <w:p w14:paraId="6C6912D8">
      <w:pPr>
        <w:spacing w:line="360" w:lineRule="auto"/>
        <w:ind w:firstLine="437"/>
        <w:rPr>
          <w:rFonts w:hint="default" w:ascii="Times New Roman" w:hAnsi="Times New Roman" w:eastAsia="宋体"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响应文件递交的地点：安徽中技工程咨询有限公司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  <w:lang w:val="en-US" w:eastAsia="zh-CN"/>
        </w:rPr>
        <w:t>二楼三号开标室</w:t>
      </w:r>
      <w:bookmarkStart w:id="1" w:name="_GoBack"/>
      <w:bookmarkEnd w:id="1"/>
    </w:p>
    <w:p w14:paraId="1604CE7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六、响应文件开启时间和地点</w:t>
      </w:r>
    </w:p>
    <w:p w14:paraId="5170CD7F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开启时间：同响应文件递交截止时间</w:t>
      </w:r>
    </w:p>
    <w:p w14:paraId="6F88520F">
      <w:pPr>
        <w:spacing w:line="360" w:lineRule="auto"/>
        <w:ind w:firstLine="437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开启地点：同响应文件递交地点</w:t>
      </w:r>
    </w:p>
    <w:p w14:paraId="5BC0E9E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七、 发布公告的媒介</w:t>
      </w:r>
    </w:p>
    <w:p w14:paraId="12D95441">
      <w:pPr>
        <w:spacing w:line="360" w:lineRule="auto"/>
        <w:ind w:firstLine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本次采购公告同时在中国招标投标公共服务平台、安徽省招标投标信息网、安徽省投资集团控股有限公司电子招标平台、安徽皖投置业有限责任公司官网网站上发布。</w:t>
      </w:r>
    </w:p>
    <w:p w14:paraId="3681EA3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八、联系方式</w:t>
      </w:r>
    </w:p>
    <w:p w14:paraId="310377C8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</w:t>
      </w:r>
    </w:p>
    <w:p w14:paraId="6D16FCC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采购人：安徽皖投产城服务运营有限公司</w:t>
      </w:r>
    </w:p>
    <w:p w14:paraId="25EC8FA6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址：合肥市包河区祁门路与南屏路交口锦城公馆3楼</w:t>
      </w:r>
    </w:p>
    <w:p w14:paraId="7F4FAB0B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联系人：康工</w:t>
      </w:r>
    </w:p>
    <w:p w14:paraId="2E61B9B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话：15056997483</w:t>
      </w:r>
    </w:p>
    <w:p w14:paraId="761F3B22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2.采购代理机构</w:t>
      </w:r>
    </w:p>
    <w:p w14:paraId="272C7F63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采购代理机构：安徽中技工程咨询有限公司 </w:t>
      </w:r>
    </w:p>
    <w:p w14:paraId="711FD280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地  址：合肥市合作化南路27号 </w:t>
      </w:r>
    </w:p>
    <w:p w14:paraId="6CDB7B06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联系人：李工、童工</w:t>
      </w:r>
    </w:p>
    <w:p w14:paraId="3B0B7F34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电  话：0551-65149581/632、820、18110993350</w:t>
      </w:r>
    </w:p>
    <w:p w14:paraId="431BC8A1">
      <w:pPr>
        <w:spacing w:line="360" w:lineRule="auto"/>
        <w:ind w:firstLine="43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邮  箱：319945746@qq.com</w:t>
      </w:r>
    </w:p>
    <w:p w14:paraId="1BECA10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九、监督机构</w:t>
      </w:r>
    </w:p>
    <w:p w14:paraId="5FEB6462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（1）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安徽皖投置业有限责任公司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招标采购监督组</w:t>
      </w:r>
    </w:p>
    <w:p w14:paraId="6476FCAF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联系人：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盛经理</w:t>
      </w:r>
    </w:p>
    <w:p w14:paraId="43C8B3CB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电  话：0551-65678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104</w:t>
      </w:r>
    </w:p>
    <w:p w14:paraId="05A65402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邮  箱：shengxuecheng@wtzy.com</w:t>
      </w:r>
    </w:p>
    <w:p w14:paraId="58F17B5C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（2）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纪检监督机构：安徽皖投产城服务运营有限公司</w:t>
      </w:r>
      <w:r>
        <w:rPr>
          <w:rFonts w:hint="eastAsia" w:ascii="Times New Roman" w:hAnsi="Times New Roman"/>
          <w:bCs/>
          <w:snapToGrid w:val="0"/>
          <w:kern w:val="0"/>
          <w:sz w:val="24"/>
          <w:szCs w:val="24"/>
        </w:rPr>
        <w:t>综合管理部</w:t>
      </w:r>
    </w:p>
    <w:bookmarkEnd w:id="0"/>
    <w:p w14:paraId="43165FD3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联系人：吕经理</w:t>
      </w:r>
    </w:p>
    <w:p w14:paraId="4C66EE9A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电  话：0551-63425266</w:t>
      </w:r>
    </w:p>
    <w:p w14:paraId="23DC78B1">
      <w:pPr>
        <w:spacing w:line="360" w:lineRule="auto"/>
        <w:ind w:firstLine="435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邮  箱：</w:t>
      </w:r>
      <w:r>
        <w:fldChar w:fldCharType="begin"/>
      </w:r>
      <w:r>
        <w:instrText xml:space="preserve"> HYPERLINK "mailto:wfjj@wtzy.com" </w:instrText>
      </w:r>
      <w:r>
        <w:fldChar w:fldCharType="separate"/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>wfjj@wtzy.com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fldChar w:fldCharType="end"/>
      </w:r>
    </w:p>
    <w:p w14:paraId="5C0EE39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十、其他事项说明</w:t>
      </w:r>
    </w:p>
    <w:p w14:paraId="423EB22F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1.供应商必须在采购文件获取时间内完成获取采购文件，未获取采购文件的报价无效。</w:t>
      </w:r>
    </w:p>
    <w:p w14:paraId="7A469F18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2.如有任何疑问或问题，请在工作时间（周一至周五，9:00—12:00，13:00—17:00，节假日休息除外）与采购代理机构联系人联系。</w:t>
      </w:r>
    </w:p>
    <w:p w14:paraId="02525CC0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3.供应商应合理安排获取采购文件时间及报价时间。如因供应商自身原因耽误造成无法获取采购文件或无法报价，责任自负。</w:t>
      </w:r>
    </w:p>
    <w:p w14:paraId="2CBCDD23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4.注册、投标具体操作手册指引详见“徽智采”平台（网址：http://www.ahhzc.cn）右下角常见问题中的文档，请仔细阅读并按步骤操作即可。</w:t>
      </w:r>
    </w:p>
    <w:p w14:paraId="647C41B6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审核时间：工作日9:00-11:30，13:00-17:00（北京时间）</w:t>
      </w:r>
    </w:p>
    <w:p w14:paraId="0DF1C43A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联系电话：章工13866184647   崔工15255472573</w:t>
      </w:r>
    </w:p>
    <w:p w14:paraId="0F01A822">
      <w:pPr>
        <w:widowControl/>
        <w:autoSpaceDE w:val="0"/>
        <w:spacing w:before="100" w:beforeAutospacing="1" w:after="100" w:afterAutospacing="1" w:line="360" w:lineRule="auto"/>
        <w:ind w:firstLine="561" w:firstLineChars="233"/>
        <w:jc w:val="right"/>
        <w:rPr>
          <w:rFonts w:ascii="Times New Roman" w:hAnsi="Times New Roman"/>
          <w:b/>
          <w:bCs/>
          <w:sz w:val="24"/>
          <w:szCs w:val="24"/>
          <w:lang w:bidi="ar"/>
        </w:rPr>
      </w:pPr>
    </w:p>
    <w:p w14:paraId="4D9BE9A2">
      <w:pPr>
        <w:widowControl/>
        <w:autoSpaceDE w:val="0"/>
        <w:spacing w:before="100" w:beforeAutospacing="1" w:after="100" w:afterAutospacing="1" w:line="360" w:lineRule="auto"/>
        <w:ind w:firstLine="559" w:firstLineChars="233"/>
        <w:jc w:val="right"/>
        <w:rPr>
          <w:rFonts w:ascii="Times New Roman" w:hAnsi="Times New Roman"/>
          <w:sz w:val="24"/>
          <w:szCs w:val="24"/>
          <w:lang w:bidi="ar"/>
        </w:rPr>
      </w:pPr>
      <w:r>
        <w:rPr>
          <w:rFonts w:ascii="Times New Roman" w:hAnsi="Times New Roman"/>
          <w:sz w:val="24"/>
          <w:szCs w:val="24"/>
          <w:lang w:bidi="ar"/>
        </w:rPr>
        <w:t>安徽中技工程咨询有限公司</w:t>
      </w:r>
    </w:p>
    <w:p w14:paraId="75CED2F2">
      <w:pPr>
        <w:jc w:val="right"/>
      </w:pPr>
      <w:r>
        <w:rPr>
          <w:rFonts w:ascii="Times New Roman" w:hAnsi="Times New Roman"/>
          <w:sz w:val="24"/>
          <w:szCs w:val="24"/>
          <w:lang w:bidi="ar"/>
        </w:rPr>
        <w:t>2025年</w:t>
      </w:r>
      <w:r>
        <w:rPr>
          <w:rFonts w:hint="eastAsia" w:ascii="Times New Roman" w:hAnsi="Times New Roman"/>
          <w:sz w:val="24"/>
          <w:szCs w:val="24"/>
          <w:lang w:bidi="ar"/>
        </w:rPr>
        <w:t>4</w:t>
      </w:r>
      <w:r>
        <w:rPr>
          <w:rFonts w:ascii="Times New Roman" w:hAnsi="Times New Roman"/>
          <w:sz w:val="24"/>
          <w:szCs w:val="24"/>
          <w:lang w:bidi="ar"/>
        </w:rPr>
        <w:t>月</w:t>
      </w:r>
      <w:r>
        <w:rPr>
          <w:rFonts w:hint="eastAsia" w:ascii="Times New Roman" w:hAnsi="Times New Roman"/>
          <w:sz w:val="24"/>
          <w:szCs w:val="24"/>
          <w:lang w:bidi="ar"/>
        </w:rPr>
        <w:t>25</w:t>
      </w:r>
      <w:r>
        <w:rPr>
          <w:rFonts w:ascii="Times New Roman" w:hAnsi="Times New Roman"/>
          <w:sz w:val="24"/>
          <w:szCs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DA03EF-7A4E-4DDF-A506-00D0864510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AD646C4-37A0-42D9-A8FC-EB5410DCEB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C26E0"/>
    <w:rsid w:val="1A9C2C6F"/>
    <w:rsid w:val="30A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黑体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1297</Words>
  <Characters>1561</Characters>
  <Lines>0</Lines>
  <Paragraphs>0</Paragraphs>
  <TotalTime>0</TotalTime>
  <ScaleCrop>false</ScaleCrop>
  <LinksUpToDate>false</LinksUpToDate>
  <CharactersWithSpaces>1587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2025-04-25T04:07:00Z</dcterms:created>
  <dc:creator>LJB</dc:creator>
  <cp:lastModifiedBy>LJB</cp:lastModifiedBy>
  <dcterms:modified xsi:type="dcterms:W3CDTF">2025-04-25T04:20:14Z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5F292718D21E4E47BABE40828AEDC3D1_11</vt:lpwstr>
  </property>
  <property fmtid="{D5CDD505-2E9C-101B-9397-08002B2CF9AE}" pid="4" name="KSOTemplateDocerSaveRecord">
    <vt:lpwstr>eyJoZGlkIjoiZWFjMTMyMjY3NDBjNjkyMTYyYjFmY2U4NWFiZjc5NDEiLCJ1c2VySWQiOiIzMzMzNzMzMjYifQ==</vt:lpwstr>
  </property>
</Properties>
</file>